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175C2A" w14:textId="77777777" w:rsidR="00B25C93" w:rsidRDefault="00B25C93" w:rsidP="00B25C93">
      <w:pPr>
        <w:spacing w:after="0" w:line="276" w:lineRule="auto"/>
        <w:jc w:val="center"/>
        <w:rPr>
          <w:rFonts w:cstheme="minorHAnsi"/>
          <w:b/>
        </w:rPr>
      </w:pPr>
      <w:r w:rsidRPr="00FD2DEA">
        <w:rPr>
          <w:rFonts w:cstheme="minorHAnsi"/>
          <w:b/>
        </w:rPr>
        <w:t>DON’T THINK OF A GIRAFFE</w:t>
      </w:r>
    </w:p>
    <w:p w14:paraId="1937663E" w14:textId="77777777" w:rsidR="00B25C93" w:rsidRPr="00FD2DEA" w:rsidRDefault="00B25C93" w:rsidP="00B25C93">
      <w:pPr>
        <w:spacing w:after="0" w:line="276" w:lineRule="auto"/>
        <w:jc w:val="center"/>
        <w:rPr>
          <w:rFonts w:cstheme="minorHAnsi"/>
          <w:b/>
        </w:rPr>
      </w:pPr>
    </w:p>
    <w:p w14:paraId="7D5A07BA" w14:textId="77777777" w:rsidR="00B25C93" w:rsidRDefault="00B25C93" w:rsidP="00B25C93">
      <w:pPr>
        <w:spacing w:after="0" w:line="276" w:lineRule="auto"/>
        <w:jc w:val="center"/>
        <w:rPr>
          <w:rFonts w:cstheme="minorHAnsi"/>
          <w:b/>
        </w:rPr>
      </w:pPr>
      <w:r>
        <w:rPr>
          <w:rFonts w:cstheme="minorHAnsi"/>
          <w:b/>
        </w:rPr>
        <w:t>Lessons for parents on children’s education post Covid19</w:t>
      </w:r>
    </w:p>
    <w:p w14:paraId="01E7550C" w14:textId="77777777" w:rsidR="00B25C93" w:rsidRDefault="00B25C93" w:rsidP="00B25C93">
      <w:pPr>
        <w:spacing w:after="0" w:line="276" w:lineRule="auto"/>
        <w:jc w:val="center"/>
        <w:rPr>
          <w:rFonts w:cstheme="minorHAnsi"/>
          <w:b/>
        </w:rPr>
      </w:pPr>
    </w:p>
    <w:p w14:paraId="22B6652F" w14:textId="77777777" w:rsidR="00B25C93" w:rsidRPr="00FD2DEA" w:rsidRDefault="00B25C93" w:rsidP="00B25C93">
      <w:pPr>
        <w:spacing w:after="0" w:line="276" w:lineRule="auto"/>
        <w:jc w:val="center"/>
        <w:rPr>
          <w:rFonts w:cstheme="minorHAnsi"/>
          <w:b/>
        </w:rPr>
      </w:pPr>
      <w:r w:rsidRPr="00FD2DEA">
        <w:rPr>
          <w:rFonts w:cstheme="minorHAnsi"/>
          <w:b/>
        </w:rPr>
        <w:t xml:space="preserve">Blending </w:t>
      </w:r>
      <w:r>
        <w:rPr>
          <w:rFonts w:cstheme="minorHAnsi"/>
          <w:b/>
        </w:rPr>
        <w:t xml:space="preserve">Eastern and Western </w:t>
      </w:r>
      <w:r w:rsidRPr="00FD2DEA">
        <w:rPr>
          <w:rFonts w:cstheme="minorHAnsi"/>
          <w:b/>
        </w:rPr>
        <w:t xml:space="preserve">wisdom to ensure your children’s </w:t>
      </w:r>
      <w:r>
        <w:rPr>
          <w:rFonts w:cstheme="minorHAnsi"/>
          <w:b/>
        </w:rPr>
        <w:t>academic</w:t>
      </w:r>
      <w:r w:rsidRPr="00FD2DEA">
        <w:rPr>
          <w:rFonts w:cstheme="minorHAnsi"/>
          <w:b/>
        </w:rPr>
        <w:t xml:space="preserve"> success in a post-</w:t>
      </w:r>
      <w:proofErr w:type="spellStart"/>
      <w:r w:rsidRPr="00FD2DEA">
        <w:rPr>
          <w:rFonts w:cstheme="minorHAnsi"/>
          <w:b/>
        </w:rPr>
        <w:t>Covid</w:t>
      </w:r>
      <w:proofErr w:type="spellEnd"/>
      <w:r w:rsidRPr="00FD2DEA">
        <w:rPr>
          <w:rFonts w:cstheme="minorHAnsi"/>
          <w:b/>
        </w:rPr>
        <w:t xml:space="preserve"> 19 world</w:t>
      </w:r>
    </w:p>
    <w:p w14:paraId="0EC8FFB7" w14:textId="77777777" w:rsidR="00B25C93" w:rsidRDefault="00B25C93" w:rsidP="00B25C93">
      <w:pPr>
        <w:pStyle w:val="NormalWeb"/>
        <w:shd w:val="clear" w:color="auto" w:fill="FFFFFF"/>
        <w:spacing w:before="0" w:beforeAutospacing="0" w:after="0" w:afterAutospacing="0" w:line="276" w:lineRule="auto"/>
        <w:rPr>
          <w:rStyle w:val="Emphasis"/>
          <w:rFonts w:asciiTheme="minorHAnsi" w:hAnsiTheme="minorHAnsi" w:cstheme="minorHAnsi"/>
          <w:b/>
          <w:i w:val="0"/>
          <w:sz w:val="22"/>
          <w:szCs w:val="22"/>
          <w:shd w:val="clear" w:color="auto" w:fill="FFFFFF"/>
        </w:rPr>
      </w:pPr>
    </w:p>
    <w:p w14:paraId="2EA8A038" w14:textId="77777777" w:rsidR="00B25C93" w:rsidRDefault="00B25C93" w:rsidP="00B25C93">
      <w:pPr>
        <w:pStyle w:val="NormalWeb"/>
        <w:shd w:val="clear" w:color="auto" w:fill="FFFFFF"/>
        <w:spacing w:before="0" w:beforeAutospacing="0" w:after="0" w:afterAutospacing="0" w:line="276" w:lineRule="auto"/>
        <w:rPr>
          <w:rStyle w:val="Emphasis"/>
          <w:rFonts w:asciiTheme="minorHAnsi" w:hAnsiTheme="minorHAnsi" w:cstheme="minorHAnsi"/>
          <w:b/>
          <w:i w:val="0"/>
          <w:sz w:val="22"/>
          <w:szCs w:val="22"/>
          <w:shd w:val="clear" w:color="auto" w:fill="FFFFFF"/>
        </w:rPr>
      </w:pPr>
    </w:p>
    <w:p w14:paraId="0802CCB5" w14:textId="5006C461" w:rsidR="00B25C93" w:rsidRDefault="00B25C93" w:rsidP="00B25C93">
      <w:pPr>
        <w:pStyle w:val="NormalWeb"/>
        <w:shd w:val="clear" w:color="auto" w:fill="FFFFFF"/>
        <w:spacing w:before="0" w:beforeAutospacing="0" w:after="0" w:afterAutospacing="0" w:line="276" w:lineRule="auto"/>
        <w:rPr>
          <w:rStyle w:val="Emphasis"/>
          <w:rFonts w:asciiTheme="minorHAnsi" w:hAnsiTheme="minorHAnsi" w:cstheme="minorHAnsi"/>
          <w:b/>
          <w:i w:val="0"/>
          <w:sz w:val="22"/>
          <w:szCs w:val="22"/>
          <w:shd w:val="clear" w:color="auto" w:fill="FFFFFF"/>
        </w:rPr>
      </w:pPr>
      <w:r>
        <w:rPr>
          <w:rStyle w:val="Emphasis"/>
          <w:rFonts w:asciiTheme="minorHAnsi" w:hAnsiTheme="minorHAnsi" w:cstheme="minorHAnsi"/>
          <w:b/>
          <w:i w:val="0"/>
          <w:sz w:val="22"/>
          <w:szCs w:val="22"/>
          <w:shd w:val="clear" w:color="auto" w:fill="FFFFFF"/>
        </w:rPr>
        <w:t>CHAPTER 2</w:t>
      </w:r>
      <w:r>
        <w:rPr>
          <w:rStyle w:val="Emphasis"/>
          <w:rFonts w:asciiTheme="minorHAnsi" w:hAnsiTheme="minorHAnsi" w:cstheme="minorHAnsi"/>
          <w:b/>
          <w:i w:val="0"/>
          <w:sz w:val="22"/>
          <w:szCs w:val="22"/>
          <w:shd w:val="clear" w:color="auto" w:fill="FFFFFF"/>
        </w:rPr>
        <w:tab/>
        <w:t>- THINKING ABOUT THINKING</w:t>
      </w:r>
    </w:p>
    <w:p w14:paraId="6E73E902" w14:textId="77777777" w:rsidR="00B25C93" w:rsidRDefault="00B25C93" w:rsidP="00B25C93">
      <w:pPr>
        <w:pStyle w:val="NormalWeb"/>
        <w:shd w:val="clear" w:color="auto" w:fill="FFFFFF"/>
        <w:spacing w:before="0" w:beforeAutospacing="0" w:after="0" w:afterAutospacing="0" w:line="276" w:lineRule="auto"/>
        <w:rPr>
          <w:rStyle w:val="Emphasis"/>
          <w:rFonts w:asciiTheme="minorHAnsi" w:hAnsiTheme="minorHAnsi" w:cstheme="minorHAnsi"/>
          <w:b/>
          <w:i w:val="0"/>
          <w:sz w:val="22"/>
          <w:szCs w:val="22"/>
          <w:shd w:val="clear" w:color="auto" w:fill="FFFFFF"/>
        </w:rPr>
      </w:pPr>
    </w:p>
    <w:p w14:paraId="6FBEE6D6" w14:textId="77777777" w:rsidR="00B25C93" w:rsidRDefault="00B25C93" w:rsidP="00B25C93">
      <w:pPr>
        <w:pStyle w:val="NormalWeb"/>
        <w:shd w:val="clear" w:color="auto" w:fill="FFFFFF"/>
        <w:spacing w:before="0" w:beforeAutospacing="0" w:after="0" w:afterAutospacing="0" w:line="276" w:lineRule="auto"/>
        <w:rPr>
          <w:rFonts w:asciiTheme="minorHAnsi" w:hAnsiTheme="minorHAnsi" w:cstheme="minorHAnsi"/>
          <w:b/>
          <w:sz w:val="22"/>
          <w:szCs w:val="22"/>
        </w:rPr>
      </w:pPr>
      <w:r>
        <w:rPr>
          <w:rStyle w:val="Emphasis"/>
          <w:rFonts w:asciiTheme="minorHAnsi" w:hAnsiTheme="minorHAnsi" w:cstheme="minorHAnsi"/>
          <w:b/>
          <w:i w:val="0"/>
          <w:sz w:val="22"/>
          <w:szCs w:val="22"/>
          <w:shd w:val="clear" w:color="auto" w:fill="FFFFFF"/>
        </w:rPr>
        <w:t>Part 4:</w:t>
      </w:r>
      <w:r>
        <w:rPr>
          <w:rStyle w:val="Emphasis"/>
          <w:rFonts w:asciiTheme="minorHAnsi" w:hAnsiTheme="minorHAnsi" w:cstheme="minorHAnsi"/>
          <w:b/>
          <w:i w:val="0"/>
          <w:sz w:val="22"/>
          <w:szCs w:val="22"/>
          <w:shd w:val="clear" w:color="auto" w:fill="FFFFFF"/>
        </w:rPr>
        <w:tab/>
      </w:r>
      <w:r>
        <w:rPr>
          <w:rStyle w:val="Emphasis"/>
          <w:rFonts w:asciiTheme="minorHAnsi" w:hAnsiTheme="minorHAnsi" w:cstheme="minorHAnsi"/>
          <w:b/>
          <w:i w:val="0"/>
          <w:sz w:val="22"/>
          <w:szCs w:val="22"/>
          <w:shd w:val="clear" w:color="auto" w:fill="FFFFFF"/>
        </w:rPr>
        <w:tab/>
        <w:t xml:space="preserve">Eastern vs Western Thinking </w:t>
      </w:r>
      <w:r>
        <w:rPr>
          <w:rStyle w:val="Emphasis"/>
          <w:rFonts w:asciiTheme="minorHAnsi" w:hAnsiTheme="minorHAnsi" w:cstheme="minorHAnsi"/>
          <w:b/>
          <w:i w:val="0"/>
          <w:sz w:val="22"/>
          <w:szCs w:val="22"/>
          <w:shd w:val="clear" w:color="auto" w:fill="FFFFFF"/>
        </w:rPr>
        <w:tab/>
      </w:r>
      <w:r w:rsidRPr="00D8114B">
        <w:rPr>
          <w:rFonts w:asciiTheme="minorHAnsi" w:hAnsiTheme="minorHAnsi" w:cstheme="minorHAnsi"/>
          <w:b/>
          <w:sz w:val="22"/>
          <w:szCs w:val="22"/>
        </w:rPr>
        <w:t xml:space="preserve"> </w:t>
      </w:r>
    </w:p>
    <w:p w14:paraId="09AA9C5A" w14:textId="77777777" w:rsidR="00B25C93" w:rsidRPr="00D8114B" w:rsidRDefault="00B25C93" w:rsidP="00B25C93">
      <w:pPr>
        <w:pStyle w:val="NormalWeb"/>
        <w:shd w:val="clear" w:color="auto" w:fill="FFFFFF"/>
        <w:spacing w:before="0" w:beforeAutospacing="0" w:after="0" w:afterAutospacing="0" w:line="276" w:lineRule="auto"/>
        <w:rPr>
          <w:rFonts w:asciiTheme="minorHAnsi" w:hAnsiTheme="minorHAnsi" w:cstheme="minorHAnsi"/>
          <w:b/>
          <w:sz w:val="22"/>
          <w:szCs w:val="22"/>
        </w:rPr>
      </w:pPr>
    </w:p>
    <w:p w14:paraId="713CDEDE"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 xml:space="preserve">The Chinese word for thinking is </w:t>
      </w:r>
      <w:proofErr w:type="spellStart"/>
      <w:r w:rsidRPr="00FD2DEA">
        <w:rPr>
          <w:rFonts w:asciiTheme="minorHAnsi" w:hAnsiTheme="minorHAnsi" w:cstheme="minorHAnsi"/>
          <w:i/>
          <w:sz w:val="22"/>
          <w:szCs w:val="22"/>
        </w:rPr>
        <w:t>si</w:t>
      </w:r>
      <w:proofErr w:type="spellEnd"/>
      <w:r w:rsidRPr="00FD2DEA">
        <w:rPr>
          <w:rFonts w:asciiTheme="minorHAnsi" w:hAnsiTheme="minorHAnsi" w:cstheme="minorHAnsi"/>
          <w:sz w:val="22"/>
          <w:szCs w:val="22"/>
        </w:rPr>
        <w:t>. “</w:t>
      </w:r>
      <w:r w:rsidRPr="00FD2DEA">
        <w:rPr>
          <w:rFonts w:asciiTheme="minorHAnsi" w:hAnsiTheme="minorHAnsi" w:cstheme="minorHAnsi"/>
          <w:i/>
          <w:sz w:val="22"/>
          <w:szCs w:val="22"/>
        </w:rPr>
        <w:t>Si</w:t>
      </w:r>
      <w:r w:rsidRPr="00FD2DEA">
        <w:rPr>
          <w:rFonts w:asciiTheme="minorHAnsi" w:hAnsiTheme="minorHAnsi" w:cstheme="minorHAnsi"/>
          <w:sz w:val="22"/>
          <w:szCs w:val="22"/>
        </w:rPr>
        <w:t xml:space="preserve"> is a broad concept that encompasses understanding, reflection, analysis, synthesis, evaluation, making connections, drawing analogies, making inferences, forming judgements – a taxonomy of thinking.” </w:t>
      </w:r>
      <w:sdt>
        <w:sdtPr>
          <w:rPr>
            <w:rFonts w:asciiTheme="minorHAnsi" w:hAnsiTheme="minorHAnsi" w:cstheme="minorHAnsi"/>
            <w:sz w:val="22"/>
            <w:szCs w:val="22"/>
          </w:rPr>
          <w:id w:val="-693538383"/>
          <w:citation/>
        </w:sdtPr>
        <w:sdtContent>
          <w:r w:rsidRPr="00FD2DEA">
            <w:rPr>
              <w:rFonts w:asciiTheme="minorHAnsi" w:hAnsiTheme="minorHAnsi" w:cstheme="minorHAnsi"/>
              <w:sz w:val="22"/>
              <w:szCs w:val="22"/>
            </w:rPr>
            <w:fldChar w:fldCharType="begin"/>
          </w:r>
          <w:r w:rsidRPr="00FD2DEA">
            <w:rPr>
              <w:rFonts w:asciiTheme="minorHAnsi" w:hAnsiTheme="minorHAnsi" w:cstheme="minorHAnsi"/>
              <w:sz w:val="22"/>
              <w:szCs w:val="22"/>
            </w:rPr>
            <w:instrText xml:space="preserve"> CITATION Tan15 \l 5129 </w:instrText>
          </w:r>
          <w:r w:rsidRPr="00FD2DEA">
            <w:rPr>
              <w:rFonts w:asciiTheme="minorHAnsi" w:hAnsiTheme="minorHAnsi" w:cstheme="minorHAnsi"/>
              <w:sz w:val="22"/>
              <w:szCs w:val="22"/>
            </w:rPr>
            <w:fldChar w:fldCharType="separate"/>
          </w:r>
          <w:r w:rsidRPr="00FD2DEA">
            <w:rPr>
              <w:rFonts w:asciiTheme="minorHAnsi" w:hAnsiTheme="minorHAnsi" w:cstheme="minorHAnsi"/>
              <w:sz w:val="22"/>
              <w:szCs w:val="22"/>
            </w:rPr>
            <w:t>(Tan, 2015)</w:t>
          </w:r>
          <w:r w:rsidRPr="00FD2DEA">
            <w:rPr>
              <w:rFonts w:asciiTheme="minorHAnsi" w:hAnsiTheme="minorHAnsi" w:cstheme="minorHAnsi"/>
              <w:sz w:val="22"/>
              <w:szCs w:val="22"/>
            </w:rPr>
            <w:fldChar w:fldCharType="end"/>
          </w:r>
        </w:sdtContent>
      </w:sdt>
    </w:p>
    <w:p w14:paraId="473ED100"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shd w:val="clear" w:color="auto" w:fill="FFFFFF"/>
        </w:rPr>
      </w:pPr>
    </w:p>
    <w:p w14:paraId="4FE4CBA2" w14:textId="77777777" w:rsidR="00B25C93" w:rsidRPr="00FD2DEA" w:rsidRDefault="00B25C93" w:rsidP="00B25C93">
      <w:pPr>
        <w:pStyle w:val="author"/>
        <w:spacing w:before="0" w:beforeAutospacing="0" w:after="0" w:afterAutospacing="0" w:line="276" w:lineRule="auto"/>
        <w:ind w:left="720"/>
        <w:rPr>
          <w:rFonts w:asciiTheme="minorHAnsi" w:hAnsiTheme="minorHAnsi" w:cstheme="minorHAnsi"/>
          <w:sz w:val="22"/>
          <w:szCs w:val="22"/>
          <w:shd w:val="clear" w:color="auto" w:fill="FFFFFF"/>
        </w:rPr>
      </w:pPr>
      <w:r w:rsidRPr="00FD2DEA">
        <w:rPr>
          <w:rFonts w:asciiTheme="minorHAnsi" w:hAnsiTheme="minorHAnsi" w:cstheme="minorHAnsi"/>
          <w:sz w:val="22"/>
          <w:szCs w:val="22"/>
          <w:shd w:val="clear" w:color="auto" w:fill="FFFFFF"/>
        </w:rPr>
        <w:t xml:space="preserve">“Learning without </w:t>
      </w:r>
      <w:proofErr w:type="spellStart"/>
      <w:r w:rsidRPr="00FD2DEA">
        <w:rPr>
          <w:rFonts w:asciiTheme="minorHAnsi" w:hAnsiTheme="minorHAnsi" w:cstheme="minorHAnsi"/>
          <w:i/>
          <w:sz w:val="22"/>
          <w:szCs w:val="22"/>
          <w:shd w:val="clear" w:color="auto" w:fill="FFFFFF"/>
        </w:rPr>
        <w:t>si</w:t>
      </w:r>
      <w:proofErr w:type="spellEnd"/>
      <w:r w:rsidRPr="00FD2DEA">
        <w:rPr>
          <w:rFonts w:asciiTheme="minorHAnsi" w:hAnsiTheme="minorHAnsi" w:cstheme="minorHAnsi"/>
          <w:sz w:val="22"/>
          <w:szCs w:val="22"/>
          <w:shd w:val="clear" w:color="auto" w:fill="FFFFFF"/>
        </w:rPr>
        <w:t xml:space="preserve"> leads to bewilderment, </w:t>
      </w:r>
      <w:proofErr w:type="spellStart"/>
      <w:r w:rsidRPr="00FD2DEA">
        <w:rPr>
          <w:rFonts w:asciiTheme="minorHAnsi" w:hAnsiTheme="minorHAnsi" w:cstheme="minorHAnsi"/>
          <w:sz w:val="22"/>
          <w:szCs w:val="22"/>
          <w:shd w:val="clear" w:color="auto" w:fill="FFFFFF"/>
        </w:rPr>
        <w:t>si</w:t>
      </w:r>
      <w:proofErr w:type="spellEnd"/>
      <w:r w:rsidRPr="00FD2DEA">
        <w:rPr>
          <w:rFonts w:asciiTheme="minorHAnsi" w:hAnsiTheme="minorHAnsi" w:cstheme="minorHAnsi"/>
          <w:sz w:val="22"/>
          <w:szCs w:val="22"/>
          <w:shd w:val="clear" w:color="auto" w:fill="FFFFFF"/>
        </w:rPr>
        <w:t xml:space="preserve"> without learning leads to perilousness” Confucius, Analects 2.15</w:t>
      </w:r>
    </w:p>
    <w:p w14:paraId="1764EF81" w14:textId="77777777" w:rsidR="00B25C93" w:rsidRPr="00FD2DEA" w:rsidRDefault="00B25C93" w:rsidP="00B25C93">
      <w:pPr>
        <w:pStyle w:val="author"/>
        <w:spacing w:before="0" w:beforeAutospacing="0" w:after="0" w:afterAutospacing="0" w:line="276" w:lineRule="auto"/>
        <w:ind w:left="720"/>
        <w:rPr>
          <w:rFonts w:asciiTheme="minorHAnsi" w:hAnsiTheme="minorHAnsi" w:cstheme="minorHAnsi"/>
          <w:sz w:val="22"/>
          <w:szCs w:val="22"/>
          <w:shd w:val="clear" w:color="auto" w:fill="FFFFFF"/>
        </w:rPr>
      </w:pPr>
    </w:p>
    <w:p w14:paraId="1644DFB0"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 xml:space="preserve">The Chinese term for </w:t>
      </w:r>
      <w:r w:rsidRPr="00FD2DEA">
        <w:rPr>
          <w:rFonts w:asciiTheme="minorHAnsi" w:hAnsiTheme="minorHAnsi" w:cstheme="minorHAnsi"/>
          <w:i/>
          <w:sz w:val="22"/>
          <w:szCs w:val="22"/>
        </w:rPr>
        <w:t>knowledge</w:t>
      </w:r>
      <w:r w:rsidRPr="00FD2DEA">
        <w:rPr>
          <w:rFonts w:asciiTheme="minorHAnsi" w:hAnsiTheme="minorHAnsi" w:cstheme="minorHAnsi"/>
          <w:sz w:val="22"/>
          <w:szCs w:val="22"/>
        </w:rPr>
        <w:t xml:space="preserve"> is made up of two words </w:t>
      </w:r>
      <w:proofErr w:type="spellStart"/>
      <w:r w:rsidRPr="00FD2DEA">
        <w:rPr>
          <w:rFonts w:asciiTheme="minorHAnsi" w:hAnsiTheme="minorHAnsi" w:cstheme="minorHAnsi"/>
          <w:i/>
          <w:sz w:val="22"/>
          <w:szCs w:val="22"/>
        </w:rPr>
        <w:t>xue</w:t>
      </w:r>
      <w:proofErr w:type="spellEnd"/>
      <w:r w:rsidRPr="00FD2DEA">
        <w:rPr>
          <w:rFonts w:asciiTheme="minorHAnsi" w:hAnsiTheme="minorHAnsi" w:cstheme="minorHAnsi"/>
          <w:sz w:val="22"/>
          <w:szCs w:val="22"/>
        </w:rPr>
        <w:t xml:space="preserve"> (to learn) and </w:t>
      </w:r>
      <w:r w:rsidRPr="00FD2DEA">
        <w:rPr>
          <w:rFonts w:asciiTheme="minorHAnsi" w:hAnsiTheme="minorHAnsi" w:cstheme="minorHAnsi"/>
          <w:i/>
          <w:sz w:val="22"/>
          <w:szCs w:val="22"/>
        </w:rPr>
        <w:t>wen</w:t>
      </w:r>
      <w:r w:rsidRPr="00FD2DEA">
        <w:rPr>
          <w:rFonts w:asciiTheme="minorHAnsi" w:hAnsiTheme="minorHAnsi" w:cstheme="minorHAnsi"/>
          <w:sz w:val="22"/>
          <w:szCs w:val="22"/>
        </w:rPr>
        <w:t xml:space="preserve"> (to ask). The derivation of the English word </w:t>
      </w:r>
      <w:r w:rsidRPr="00FD2DEA">
        <w:rPr>
          <w:rFonts w:asciiTheme="minorHAnsi" w:hAnsiTheme="minorHAnsi" w:cstheme="minorHAnsi"/>
          <w:i/>
          <w:sz w:val="22"/>
          <w:szCs w:val="22"/>
        </w:rPr>
        <w:t>knowledge</w:t>
      </w:r>
      <w:r w:rsidRPr="00FD2DEA">
        <w:rPr>
          <w:rFonts w:asciiTheme="minorHAnsi" w:hAnsiTheme="minorHAnsi" w:cstheme="minorHAnsi"/>
          <w:sz w:val="22"/>
          <w:szCs w:val="22"/>
        </w:rPr>
        <w:t xml:space="preserve"> is also in two parts – </w:t>
      </w:r>
      <w:r w:rsidRPr="00FD2DEA">
        <w:rPr>
          <w:rFonts w:asciiTheme="minorHAnsi" w:hAnsiTheme="minorHAnsi" w:cstheme="minorHAnsi"/>
          <w:i/>
          <w:sz w:val="22"/>
          <w:szCs w:val="22"/>
        </w:rPr>
        <w:t>acknowledgment of a superior</w:t>
      </w:r>
      <w:r w:rsidRPr="00FD2DEA">
        <w:rPr>
          <w:rFonts w:asciiTheme="minorHAnsi" w:hAnsiTheme="minorHAnsi" w:cstheme="minorHAnsi"/>
          <w:sz w:val="22"/>
          <w:szCs w:val="22"/>
        </w:rPr>
        <w:t xml:space="preserve"> and </w:t>
      </w:r>
      <w:r w:rsidRPr="00FD2DEA">
        <w:rPr>
          <w:rFonts w:asciiTheme="minorHAnsi" w:hAnsiTheme="minorHAnsi" w:cstheme="minorHAnsi"/>
          <w:i/>
          <w:sz w:val="22"/>
          <w:szCs w:val="22"/>
        </w:rPr>
        <w:t xml:space="preserve">action or process. </w:t>
      </w:r>
      <w:r w:rsidRPr="00FD2DEA">
        <w:rPr>
          <w:rFonts w:asciiTheme="minorHAnsi" w:hAnsiTheme="minorHAnsi" w:cstheme="minorHAnsi"/>
          <w:sz w:val="22"/>
          <w:szCs w:val="22"/>
        </w:rPr>
        <w:t xml:space="preserve">Both derivations suggest an active inquiring mind always asking questions </w:t>
      </w:r>
      <w:proofErr w:type="gramStart"/>
      <w:r w:rsidRPr="00FD2DEA">
        <w:rPr>
          <w:rFonts w:asciiTheme="minorHAnsi" w:hAnsiTheme="minorHAnsi" w:cstheme="minorHAnsi"/>
          <w:sz w:val="22"/>
          <w:szCs w:val="22"/>
        </w:rPr>
        <w:t>in order to</w:t>
      </w:r>
      <w:proofErr w:type="gramEnd"/>
      <w:r w:rsidRPr="00FD2DEA">
        <w:rPr>
          <w:rFonts w:asciiTheme="minorHAnsi" w:hAnsiTheme="minorHAnsi" w:cstheme="minorHAnsi"/>
          <w:sz w:val="22"/>
          <w:szCs w:val="22"/>
        </w:rPr>
        <w:t xml:space="preserve"> learn and develop knowledge. </w:t>
      </w:r>
    </w:p>
    <w:p w14:paraId="6B4622C6"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7CB0FCD6"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 xml:space="preserve">The Confucian view of acquiring knowledge first involves research and deliberation then a decision to </w:t>
      </w:r>
      <w:proofErr w:type="gramStart"/>
      <w:r w:rsidRPr="00FD2DEA">
        <w:rPr>
          <w:rFonts w:asciiTheme="minorHAnsi" w:hAnsiTheme="minorHAnsi" w:cstheme="minorHAnsi"/>
          <w:sz w:val="22"/>
          <w:szCs w:val="22"/>
        </w:rPr>
        <w:t>take action</w:t>
      </w:r>
      <w:proofErr w:type="gramEnd"/>
      <w:r w:rsidRPr="00FD2DEA">
        <w:rPr>
          <w:rFonts w:asciiTheme="minorHAnsi" w:hAnsiTheme="minorHAnsi" w:cstheme="minorHAnsi"/>
          <w:sz w:val="22"/>
          <w:szCs w:val="22"/>
        </w:rPr>
        <w:t xml:space="preserve"> followed by knowledgeable action. Confucius emphasized the importance of learning in mediating the relationship between knowledge and action.</w:t>
      </w:r>
      <w:sdt>
        <w:sdtPr>
          <w:rPr>
            <w:rFonts w:asciiTheme="minorHAnsi" w:hAnsiTheme="minorHAnsi" w:cstheme="minorHAnsi"/>
            <w:sz w:val="22"/>
            <w:szCs w:val="22"/>
          </w:rPr>
          <w:id w:val="643707009"/>
          <w:citation/>
        </w:sdtPr>
        <w:sdtContent>
          <w:r w:rsidRPr="00FD2DEA">
            <w:rPr>
              <w:rFonts w:asciiTheme="minorHAnsi" w:hAnsiTheme="minorHAnsi" w:cstheme="minorHAnsi"/>
              <w:sz w:val="22"/>
              <w:szCs w:val="22"/>
            </w:rPr>
            <w:fldChar w:fldCharType="begin"/>
          </w:r>
          <w:r w:rsidRPr="00FD2DEA">
            <w:rPr>
              <w:rFonts w:asciiTheme="minorHAnsi" w:hAnsiTheme="minorHAnsi" w:cstheme="minorHAnsi"/>
              <w:sz w:val="22"/>
              <w:szCs w:val="22"/>
            </w:rPr>
            <w:instrText xml:space="preserve"> CITATION Chi14 \l 5129 </w:instrText>
          </w:r>
          <w:r w:rsidRPr="00FD2DEA">
            <w:rPr>
              <w:rFonts w:asciiTheme="minorHAnsi" w:hAnsiTheme="minorHAnsi" w:cstheme="minorHAnsi"/>
              <w:sz w:val="22"/>
              <w:szCs w:val="22"/>
            </w:rPr>
            <w:fldChar w:fldCharType="separate"/>
          </w:r>
          <w:r w:rsidRPr="00FD2DEA">
            <w:rPr>
              <w:rFonts w:asciiTheme="minorHAnsi" w:hAnsiTheme="minorHAnsi" w:cstheme="minorHAnsi"/>
              <w:sz w:val="22"/>
              <w:szCs w:val="22"/>
            </w:rPr>
            <w:t xml:space="preserve"> (Ching-tien, 2014)</w:t>
          </w:r>
          <w:r w:rsidRPr="00FD2DEA">
            <w:rPr>
              <w:rFonts w:asciiTheme="minorHAnsi" w:hAnsiTheme="minorHAnsi" w:cstheme="minorHAnsi"/>
              <w:sz w:val="22"/>
              <w:szCs w:val="22"/>
            </w:rPr>
            <w:fldChar w:fldCharType="end"/>
          </w:r>
        </w:sdtContent>
      </w:sdt>
    </w:p>
    <w:p w14:paraId="2CE0A823"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419F0D13" w14:textId="77777777" w:rsidR="00B25C93" w:rsidRPr="00FD2DEA" w:rsidRDefault="00B25C93" w:rsidP="00B25C93">
      <w:pPr>
        <w:pStyle w:val="author"/>
        <w:spacing w:before="0" w:beforeAutospacing="0" w:after="0" w:afterAutospacing="0" w:line="276" w:lineRule="auto"/>
        <w:ind w:left="720"/>
        <w:rPr>
          <w:rFonts w:asciiTheme="minorHAnsi" w:hAnsiTheme="minorHAnsi" w:cstheme="minorHAnsi"/>
          <w:sz w:val="22"/>
          <w:szCs w:val="22"/>
        </w:rPr>
      </w:pPr>
      <w:r w:rsidRPr="00FD2DEA">
        <w:rPr>
          <w:rFonts w:asciiTheme="minorHAnsi" w:hAnsiTheme="minorHAnsi" w:cstheme="minorHAnsi"/>
          <w:sz w:val="22"/>
          <w:szCs w:val="22"/>
        </w:rPr>
        <w:t xml:space="preserve"> “Study extensively, inquire carefully, ponder thoroughly, sift clearly, and practice earnestly” Zhu Xi (neo-Confucianist 1130-1200)</w:t>
      </w:r>
    </w:p>
    <w:p w14:paraId="0DC55AE3"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673C66CB" w14:textId="77777777" w:rsidR="00B25C93" w:rsidRPr="00FD2DEA" w:rsidRDefault="00B25C93" w:rsidP="00B25C93">
      <w:pPr>
        <w:pStyle w:val="author"/>
        <w:spacing w:before="0" w:beforeAutospacing="0" w:after="0" w:afterAutospacing="0" w:line="276" w:lineRule="auto"/>
        <w:ind w:left="720"/>
        <w:rPr>
          <w:rFonts w:asciiTheme="minorHAnsi" w:hAnsiTheme="minorHAnsi" w:cstheme="minorHAnsi"/>
          <w:sz w:val="22"/>
          <w:szCs w:val="22"/>
        </w:rPr>
      </w:pPr>
      <w:r>
        <w:rPr>
          <w:rFonts w:asciiTheme="minorHAnsi" w:hAnsiTheme="minorHAnsi" w:cstheme="minorHAnsi"/>
          <w:sz w:val="22"/>
          <w:szCs w:val="22"/>
        </w:rPr>
        <w:t>“</w:t>
      </w:r>
      <w:r w:rsidRPr="00FD2DEA">
        <w:rPr>
          <w:rFonts w:asciiTheme="minorHAnsi" w:hAnsiTheme="minorHAnsi" w:cstheme="minorHAnsi"/>
          <w:sz w:val="22"/>
          <w:szCs w:val="22"/>
        </w:rPr>
        <w:t>Confucius stressed using individual instruction and personal, informal methods while recognising the importance of application and requiring students to apply what they learned by putting their knowledge into practice (Analects 1.1</w:t>
      </w:r>
      <w:r>
        <w:rPr>
          <w:rFonts w:asciiTheme="minorHAnsi" w:hAnsiTheme="minorHAnsi" w:cstheme="minorHAnsi"/>
          <w:sz w:val="22"/>
          <w:szCs w:val="22"/>
        </w:rPr>
        <w:t xml:space="preserve">, </w:t>
      </w:r>
      <w:r w:rsidRPr="00FD2DEA">
        <w:rPr>
          <w:rFonts w:asciiTheme="minorHAnsi" w:hAnsiTheme="minorHAnsi" w:cstheme="minorHAnsi"/>
          <w:sz w:val="22"/>
          <w:szCs w:val="22"/>
        </w:rPr>
        <w:t>6.21</w:t>
      </w:r>
      <w:r>
        <w:rPr>
          <w:rFonts w:asciiTheme="minorHAnsi" w:hAnsiTheme="minorHAnsi" w:cstheme="minorHAnsi"/>
          <w:sz w:val="22"/>
          <w:szCs w:val="22"/>
        </w:rPr>
        <w:t xml:space="preserve">, </w:t>
      </w:r>
      <w:r w:rsidRPr="00FD2DEA">
        <w:rPr>
          <w:rFonts w:asciiTheme="minorHAnsi" w:hAnsiTheme="minorHAnsi" w:cstheme="minorHAnsi"/>
          <w:sz w:val="22"/>
          <w:szCs w:val="22"/>
        </w:rPr>
        <w:t xml:space="preserve">11.22)” </w:t>
      </w:r>
      <w:sdt>
        <w:sdtPr>
          <w:rPr>
            <w:rFonts w:asciiTheme="minorHAnsi" w:hAnsiTheme="minorHAnsi" w:cstheme="minorHAnsi"/>
            <w:sz w:val="22"/>
            <w:szCs w:val="22"/>
          </w:rPr>
          <w:id w:val="2081714763"/>
          <w:citation/>
        </w:sdtPr>
        <w:sdtContent>
          <w:r w:rsidRPr="00FD2DEA">
            <w:rPr>
              <w:rFonts w:asciiTheme="minorHAnsi" w:hAnsiTheme="minorHAnsi" w:cstheme="minorHAnsi"/>
              <w:sz w:val="22"/>
              <w:szCs w:val="22"/>
            </w:rPr>
            <w:fldChar w:fldCharType="begin"/>
          </w:r>
          <w:r w:rsidRPr="00FD2DEA">
            <w:rPr>
              <w:rFonts w:asciiTheme="minorHAnsi" w:hAnsiTheme="minorHAnsi" w:cstheme="minorHAnsi"/>
              <w:sz w:val="22"/>
              <w:szCs w:val="22"/>
            </w:rPr>
            <w:instrText xml:space="preserve"> CITATION Smi13 \l 5129 </w:instrText>
          </w:r>
          <w:r w:rsidRPr="00FD2DEA">
            <w:rPr>
              <w:rFonts w:asciiTheme="minorHAnsi" w:hAnsiTheme="minorHAnsi" w:cstheme="minorHAnsi"/>
              <w:sz w:val="22"/>
              <w:szCs w:val="22"/>
            </w:rPr>
            <w:fldChar w:fldCharType="separate"/>
          </w:r>
          <w:r w:rsidRPr="00FD2DEA">
            <w:rPr>
              <w:rFonts w:asciiTheme="minorHAnsi" w:hAnsiTheme="minorHAnsi" w:cstheme="minorHAnsi"/>
              <w:sz w:val="22"/>
              <w:szCs w:val="22"/>
            </w:rPr>
            <w:t>(Smith &amp; Hu, 2013)</w:t>
          </w:r>
          <w:r w:rsidRPr="00FD2DEA">
            <w:rPr>
              <w:rFonts w:asciiTheme="minorHAnsi" w:hAnsiTheme="minorHAnsi" w:cstheme="minorHAnsi"/>
              <w:sz w:val="22"/>
              <w:szCs w:val="22"/>
            </w:rPr>
            <w:fldChar w:fldCharType="end"/>
          </w:r>
        </w:sdtContent>
      </w:sdt>
      <w:r w:rsidRPr="00FD2DEA">
        <w:rPr>
          <w:rFonts w:asciiTheme="minorHAnsi" w:hAnsiTheme="minorHAnsi" w:cstheme="minorHAnsi"/>
          <w:sz w:val="22"/>
          <w:szCs w:val="22"/>
        </w:rPr>
        <w:t xml:space="preserve"> </w:t>
      </w:r>
    </w:p>
    <w:p w14:paraId="134059A8"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26BC48B1"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shd w:val="clear" w:color="auto" w:fill="FFFFFF"/>
        </w:rPr>
      </w:pPr>
      <w:r w:rsidRPr="00FD2DEA">
        <w:rPr>
          <w:rFonts w:asciiTheme="minorHAnsi" w:hAnsiTheme="minorHAnsi" w:cstheme="minorHAnsi"/>
          <w:sz w:val="22"/>
          <w:szCs w:val="22"/>
          <w:shd w:val="clear" w:color="auto" w:fill="FFFFFF"/>
        </w:rPr>
        <w:t xml:space="preserve">Confucius’ view of human intelligence encompassed qualities such as: </w:t>
      </w:r>
    </w:p>
    <w:p w14:paraId="203D6CCB" w14:textId="77777777" w:rsidR="00B25C93" w:rsidRPr="00FD2DEA" w:rsidRDefault="00B25C93" w:rsidP="00B25C93">
      <w:pPr>
        <w:pStyle w:val="author"/>
        <w:numPr>
          <w:ilvl w:val="0"/>
          <w:numId w:val="1"/>
        </w:numPr>
        <w:spacing w:before="0" w:beforeAutospacing="0" w:after="0" w:afterAutospacing="0" w:line="276" w:lineRule="auto"/>
        <w:rPr>
          <w:rFonts w:asciiTheme="minorHAnsi" w:hAnsiTheme="minorHAnsi" w:cstheme="minorHAnsi"/>
          <w:sz w:val="22"/>
          <w:szCs w:val="22"/>
          <w:shd w:val="clear" w:color="auto" w:fill="FFFFFF"/>
        </w:rPr>
      </w:pPr>
      <w:r w:rsidRPr="00FD2DEA">
        <w:rPr>
          <w:rFonts w:asciiTheme="minorHAnsi" w:hAnsiTheme="minorHAnsi" w:cstheme="minorHAnsi"/>
          <w:sz w:val="22"/>
          <w:szCs w:val="22"/>
          <w:shd w:val="clear" w:color="auto" w:fill="FFFFFF"/>
        </w:rPr>
        <w:t>the ability to identify areas of intelligence in others</w:t>
      </w:r>
    </w:p>
    <w:p w14:paraId="6F836DF4" w14:textId="77777777" w:rsidR="00B25C93" w:rsidRPr="00FD2DEA" w:rsidRDefault="00B25C93" w:rsidP="00B25C93">
      <w:pPr>
        <w:pStyle w:val="author"/>
        <w:numPr>
          <w:ilvl w:val="0"/>
          <w:numId w:val="1"/>
        </w:numPr>
        <w:spacing w:before="0" w:beforeAutospacing="0" w:after="0" w:afterAutospacing="0" w:line="276" w:lineRule="auto"/>
        <w:rPr>
          <w:rFonts w:asciiTheme="minorHAnsi" w:hAnsiTheme="minorHAnsi" w:cstheme="minorHAnsi"/>
          <w:sz w:val="22"/>
          <w:szCs w:val="22"/>
          <w:shd w:val="clear" w:color="auto" w:fill="FFFFFF"/>
        </w:rPr>
      </w:pPr>
      <w:r w:rsidRPr="00FD2DEA">
        <w:rPr>
          <w:rFonts w:asciiTheme="minorHAnsi" w:hAnsiTheme="minorHAnsi" w:cstheme="minorHAnsi"/>
          <w:sz w:val="22"/>
          <w:szCs w:val="22"/>
          <w:shd w:val="clear" w:color="auto" w:fill="FFFFFF"/>
        </w:rPr>
        <w:t>self-knowledge</w:t>
      </w:r>
    </w:p>
    <w:p w14:paraId="201E0B0D" w14:textId="77777777" w:rsidR="00B25C93" w:rsidRPr="00FD2DEA" w:rsidRDefault="00B25C93" w:rsidP="00B25C93">
      <w:pPr>
        <w:pStyle w:val="author"/>
        <w:numPr>
          <w:ilvl w:val="0"/>
          <w:numId w:val="1"/>
        </w:numPr>
        <w:spacing w:before="0" w:beforeAutospacing="0" w:after="0" w:afterAutospacing="0" w:line="276" w:lineRule="auto"/>
        <w:rPr>
          <w:rFonts w:asciiTheme="minorHAnsi" w:hAnsiTheme="minorHAnsi" w:cstheme="minorHAnsi"/>
          <w:sz w:val="22"/>
          <w:szCs w:val="22"/>
          <w:shd w:val="clear" w:color="auto" w:fill="FFFFFF"/>
        </w:rPr>
      </w:pPr>
      <w:r w:rsidRPr="00FD2DEA">
        <w:rPr>
          <w:rFonts w:asciiTheme="minorHAnsi" w:hAnsiTheme="minorHAnsi" w:cstheme="minorHAnsi"/>
          <w:sz w:val="22"/>
          <w:szCs w:val="22"/>
          <w:shd w:val="clear" w:color="auto" w:fill="FFFFFF"/>
        </w:rPr>
        <w:t>problem-solving skills</w:t>
      </w:r>
    </w:p>
    <w:p w14:paraId="3B9AAA4B" w14:textId="77777777" w:rsidR="00B25C93" w:rsidRPr="00FD2DEA" w:rsidRDefault="00B25C93" w:rsidP="00B25C93">
      <w:pPr>
        <w:pStyle w:val="author"/>
        <w:numPr>
          <w:ilvl w:val="0"/>
          <w:numId w:val="1"/>
        </w:numPr>
        <w:spacing w:before="0" w:beforeAutospacing="0" w:after="0" w:afterAutospacing="0" w:line="276" w:lineRule="auto"/>
        <w:rPr>
          <w:rFonts w:asciiTheme="minorHAnsi" w:hAnsiTheme="minorHAnsi" w:cstheme="minorHAnsi"/>
          <w:sz w:val="22"/>
          <w:szCs w:val="22"/>
          <w:shd w:val="clear" w:color="auto" w:fill="FFFFFF"/>
        </w:rPr>
      </w:pPr>
      <w:r w:rsidRPr="00FD2DEA">
        <w:rPr>
          <w:rFonts w:asciiTheme="minorHAnsi" w:hAnsiTheme="minorHAnsi" w:cstheme="minorHAnsi"/>
          <w:sz w:val="22"/>
          <w:szCs w:val="22"/>
          <w:shd w:val="clear" w:color="auto" w:fill="FFFFFF"/>
        </w:rPr>
        <w:t>verbal fluency</w:t>
      </w:r>
    </w:p>
    <w:p w14:paraId="3783DE68" w14:textId="77777777" w:rsidR="00B25C93" w:rsidRPr="00FD2DEA" w:rsidRDefault="00B25C93" w:rsidP="00B25C93">
      <w:pPr>
        <w:pStyle w:val="author"/>
        <w:numPr>
          <w:ilvl w:val="0"/>
          <w:numId w:val="1"/>
        </w:numPr>
        <w:spacing w:before="0" w:beforeAutospacing="0" w:after="0" w:afterAutospacing="0" w:line="276" w:lineRule="auto"/>
        <w:rPr>
          <w:rFonts w:asciiTheme="minorHAnsi" w:hAnsiTheme="minorHAnsi" w:cstheme="minorHAnsi"/>
          <w:sz w:val="22"/>
          <w:szCs w:val="22"/>
          <w:shd w:val="clear" w:color="auto" w:fill="FFFFFF"/>
        </w:rPr>
      </w:pPr>
      <w:r w:rsidRPr="00FD2DEA">
        <w:rPr>
          <w:rFonts w:asciiTheme="minorHAnsi" w:hAnsiTheme="minorHAnsi" w:cstheme="minorHAnsi"/>
          <w:sz w:val="22"/>
          <w:szCs w:val="22"/>
          <w:shd w:val="clear" w:color="auto" w:fill="FFFFFF"/>
        </w:rPr>
        <w:t>the ability to think actively and flexibly</w:t>
      </w:r>
    </w:p>
    <w:p w14:paraId="58F8097B" w14:textId="77777777" w:rsidR="00B25C93" w:rsidRPr="00FD2DEA" w:rsidRDefault="00B25C93" w:rsidP="00B25C93">
      <w:pPr>
        <w:pStyle w:val="author"/>
        <w:numPr>
          <w:ilvl w:val="0"/>
          <w:numId w:val="1"/>
        </w:numPr>
        <w:spacing w:before="0" w:beforeAutospacing="0" w:after="0" w:afterAutospacing="0" w:line="276" w:lineRule="auto"/>
        <w:rPr>
          <w:rFonts w:asciiTheme="minorHAnsi" w:hAnsiTheme="minorHAnsi" w:cstheme="minorHAnsi"/>
          <w:sz w:val="22"/>
          <w:szCs w:val="22"/>
          <w:shd w:val="clear" w:color="auto" w:fill="FFFFFF"/>
        </w:rPr>
      </w:pPr>
      <w:r w:rsidRPr="00FD2DEA">
        <w:rPr>
          <w:rFonts w:asciiTheme="minorHAnsi" w:hAnsiTheme="minorHAnsi" w:cstheme="minorHAnsi"/>
          <w:sz w:val="22"/>
          <w:szCs w:val="22"/>
          <w:shd w:val="clear" w:color="auto" w:fill="FFFFFF"/>
        </w:rPr>
        <w:t xml:space="preserve">the capacity to make healthy personal decisions. </w:t>
      </w:r>
    </w:p>
    <w:p w14:paraId="3E909B62"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shd w:val="clear" w:color="auto" w:fill="FFFFFF"/>
        </w:rPr>
      </w:pPr>
      <w:r w:rsidRPr="00FD2DEA">
        <w:rPr>
          <w:rFonts w:asciiTheme="minorHAnsi" w:hAnsiTheme="minorHAnsi" w:cstheme="minorHAnsi"/>
          <w:sz w:val="22"/>
          <w:szCs w:val="22"/>
          <w:shd w:val="clear" w:color="auto" w:fill="FFFFFF"/>
        </w:rPr>
        <w:t>Confucius emphasised the importance of two forms of reflection in achieving learning:</w:t>
      </w:r>
    </w:p>
    <w:p w14:paraId="4CA5E76D" w14:textId="77777777" w:rsidR="00B25C93" w:rsidRPr="00FD2DEA" w:rsidRDefault="00B25C93" w:rsidP="00B25C93">
      <w:pPr>
        <w:pStyle w:val="author"/>
        <w:numPr>
          <w:ilvl w:val="0"/>
          <w:numId w:val="2"/>
        </w:numPr>
        <w:spacing w:before="0" w:beforeAutospacing="0" w:after="0" w:afterAutospacing="0" w:line="276" w:lineRule="auto"/>
        <w:rPr>
          <w:rFonts w:asciiTheme="minorHAnsi" w:hAnsiTheme="minorHAnsi" w:cstheme="minorHAnsi"/>
          <w:sz w:val="22"/>
          <w:szCs w:val="22"/>
          <w:shd w:val="clear" w:color="auto" w:fill="FFFFFF"/>
        </w:rPr>
      </w:pPr>
      <w:r w:rsidRPr="00FD2DEA">
        <w:rPr>
          <w:rFonts w:asciiTheme="minorHAnsi" w:hAnsiTheme="minorHAnsi" w:cstheme="minorHAnsi"/>
          <w:sz w:val="22"/>
          <w:szCs w:val="22"/>
          <w:shd w:val="clear" w:color="auto" w:fill="FFFFFF"/>
        </w:rPr>
        <w:t xml:space="preserve">Reflection on everything that has been learned to synthesise, </w:t>
      </w:r>
      <w:proofErr w:type="gramStart"/>
      <w:r w:rsidRPr="00FD2DEA">
        <w:rPr>
          <w:rFonts w:asciiTheme="minorHAnsi" w:hAnsiTheme="minorHAnsi" w:cstheme="minorHAnsi"/>
          <w:sz w:val="22"/>
          <w:szCs w:val="22"/>
          <w:shd w:val="clear" w:color="auto" w:fill="FFFFFF"/>
        </w:rPr>
        <w:t>integrate</w:t>
      </w:r>
      <w:proofErr w:type="gramEnd"/>
      <w:r w:rsidRPr="00FD2DEA">
        <w:rPr>
          <w:rFonts w:asciiTheme="minorHAnsi" w:hAnsiTheme="minorHAnsi" w:cstheme="minorHAnsi"/>
          <w:sz w:val="22"/>
          <w:szCs w:val="22"/>
          <w:shd w:val="clear" w:color="auto" w:fill="FFFFFF"/>
        </w:rPr>
        <w:t xml:space="preserve"> and look for patterns and commonalities, and </w:t>
      </w:r>
    </w:p>
    <w:p w14:paraId="13AC1EDC" w14:textId="77777777" w:rsidR="00B25C93" w:rsidRPr="00FD2DEA" w:rsidRDefault="00B25C93" w:rsidP="00B25C93">
      <w:pPr>
        <w:pStyle w:val="author"/>
        <w:numPr>
          <w:ilvl w:val="0"/>
          <w:numId w:val="2"/>
        </w:numPr>
        <w:spacing w:before="0" w:beforeAutospacing="0" w:after="0" w:afterAutospacing="0" w:line="276" w:lineRule="auto"/>
        <w:rPr>
          <w:rFonts w:asciiTheme="minorHAnsi" w:hAnsiTheme="minorHAnsi" w:cstheme="minorHAnsi"/>
          <w:sz w:val="22"/>
          <w:szCs w:val="22"/>
          <w:shd w:val="clear" w:color="auto" w:fill="FFFFFF"/>
        </w:rPr>
      </w:pPr>
      <w:r w:rsidRPr="00FD2DEA">
        <w:rPr>
          <w:rFonts w:asciiTheme="minorHAnsi" w:hAnsiTheme="minorHAnsi" w:cstheme="minorHAnsi"/>
          <w:sz w:val="22"/>
          <w:szCs w:val="22"/>
          <w:shd w:val="clear" w:color="auto" w:fill="FFFFFF"/>
        </w:rPr>
        <w:lastRenderedPageBreak/>
        <w:t>Reflection on oneself, in order to ensure that such synthesis and integration proceed in an open‐minded, fair and autonomous way, and integrate knowledge with the self, that is, to internalise it until it becomes oneself.</w:t>
      </w:r>
      <w:sdt>
        <w:sdtPr>
          <w:rPr>
            <w:rFonts w:asciiTheme="minorHAnsi" w:hAnsiTheme="minorHAnsi" w:cstheme="minorHAnsi"/>
            <w:sz w:val="22"/>
            <w:szCs w:val="22"/>
            <w:shd w:val="clear" w:color="auto" w:fill="FFFFFF"/>
          </w:rPr>
          <w:id w:val="-707730525"/>
          <w:citation/>
        </w:sdtPr>
        <w:sdtContent>
          <w:r w:rsidRPr="00FD2DEA">
            <w:rPr>
              <w:rFonts w:asciiTheme="minorHAnsi" w:hAnsiTheme="minorHAnsi" w:cstheme="minorHAnsi"/>
              <w:sz w:val="22"/>
              <w:szCs w:val="22"/>
              <w:shd w:val="clear" w:color="auto" w:fill="FFFFFF"/>
            </w:rPr>
            <w:fldChar w:fldCharType="begin"/>
          </w:r>
          <w:r w:rsidRPr="00FD2DEA">
            <w:rPr>
              <w:rFonts w:asciiTheme="minorHAnsi" w:hAnsiTheme="minorHAnsi" w:cstheme="minorHAnsi"/>
              <w:sz w:val="22"/>
              <w:szCs w:val="22"/>
              <w:shd w:val="clear" w:color="auto" w:fill="FFFFFF"/>
            </w:rPr>
            <w:instrText xml:space="preserve"> CITATION Hye03 \l 5129 </w:instrText>
          </w:r>
          <w:r w:rsidRPr="00FD2DEA">
            <w:rPr>
              <w:rFonts w:asciiTheme="minorHAnsi" w:hAnsiTheme="minorHAnsi" w:cstheme="minorHAnsi"/>
              <w:sz w:val="22"/>
              <w:szCs w:val="22"/>
              <w:shd w:val="clear" w:color="auto" w:fill="FFFFFF"/>
            </w:rPr>
            <w:fldChar w:fldCharType="separate"/>
          </w:r>
          <w:r w:rsidRPr="00FD2DEA">
            <w:rPr>
              <w:rFonts w:asciiTheme="minorHAnsi" w:hAnsiTheme="minorHAnsi" w:cstheme="minorHAnsi"/>
              <w:sz w:val="22"/>
              <w:szCs w:val="22"/>
              <w:shd w:val="clear" w:color="auto" w:fill="FFFFFF"/>
            </w:rPr>
            <w:t xml:space="preserve"> (Hye-Kyung, 2003)</w:t>
          </w:r>
          <w:r w:rsidRPr="00FD2DEA">
            <w:rPr>
              <w:rFonts w:asciiTheme="minorHAnsi" w:hAnsiTheme="minorHAnsi" w:cstheme="minorHAnsi"/>
              <w:sz w:val="22"/>
              <w:szCs w:val="22"/>
              <w:shd w:val="clear" w:color="auto" w:fill="FFFFFF"/>
            </w:rPr>
            <w:fldChar w:fldCharType="end"/>
          </w:r>
        </w:sdtContent>
      </w:sdt>
    </w:p>
    <w:p w14:paraId="4D28A4BB"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2B44665D"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From the West the ancient Greeks’ view of knowledge acquisition has a lot in common with the Confucian view:</w:t>
      </w:r>
    </w:p>
    <w:p w14:paraId="7A17BBBF" w14:textId="77777777" w:rsidR="00B25C93" w:rsidRPr="00FD2DEA" w:rsidRDefault="00B25C93" w:rsidP="00B25C93">
      <w:pPr>
        <w:pStyle w:val="author"/>
        <w:spacing w:before="0" w:beforeAutospacing="0" w:after="0" w:afterAutospacing="0" w:line="276" w:lineRule="auto"/>
        <w:ind w:left="720"/>
        <w:rPr>
          <w:rFonts w:asciiTheme="minorHAnsi" w:hAnsiTheme="minorHAnsi" w:cstheme="minorHAnsi"/>
          <w:sz w:val="22"/>
          <w:szCs w:val="22"/>
        </w:rPr>
      </w:pPr>
      <w:r w:rsidRPr="00FD2DEA">
        <w:rPr>
          <w:rFonts w:asciiTheme="minorHAnsi" w:hAnsiTheme="minorHAnsi" w:cstheme="minorHAnsi"/>
          <w:sz w:val="22"/>
          <w:szCs w:val="22"/>
        </w:rPr>
        <w:t>“Do not then train youths to learning by force and harshness, but direct them to it by what amuses their minds so that you may be better able to discover with accuracy the peculiar bent of the genius of each.” Plato 428 – 349 BC</w:t>
      </w:r>
    </w:p>
    <w:p w14:paraId="7B8A96E7"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0ECC1A53" w14:textId="77777777" w:rsidR="00B25C93" w:rsidRPr="00FD2DEA" w:rsidRDefault="00B25C93" w:rsidP="00B25C93">
      <w:pPr>
        <w:pStyle w:val="author"/>
        <w:spacing w:before="0" w:beforeAutospacing="0" w:after="0" w:afterAutospacing="0" w:line="276" w:lineRule="auto"/>
        <w:rPr>
          <w:rFonts w:asciiTheme="minorHAnsi" w:hAnsiTheme="minorHAnsi" w:cstheme="minorHAnsi"/>
          <w:i/>
          <w:iCs/>
          <w:sz w:val="22"/>
          <w:szCs w:val="22"/>
          <w:shd w:val="clear" w:color="auto" w:fill="FFFFFF"/>
        </w:rPr>
      </w:pPr>
      <w:r w:rsidRPr="00FD2DEA">
        <w:rPr>
          <w:rFonts w:asciiTheme="minorHAnsi" w:hAnsiTheme="minorHAnsi" w:cstheme="minorHAnsi"/>
          <w:sz w:val="22"/>
          <w:szCs w:val="22"/>
        </w:rPr>
        <w:t xml:space="preserve">The closest ancient Greek word to our modern concept of intelligence is </w:t>
      </w:r>
      <w:r w:rsidRPr="00FD2DEA">
        <w:rPr>
          <w:rFonts w:asciiTheme="minorHAnsi" w:hAnsiTheme="minorHAnsi" w:cstheme="minorHAnsi"/>
          <w:i/>
          <w:sz w:val="22"/>
          <w:szCs w:val="22"/>
        </w:rPr>
        <w:t>nous</w:t>
      </w:r>
      <w:r w:rsidRPr="00FD2DEA">
        <w:rPr>
          <w:rFonts w:asciiTheme="minorHAnsi" w:hAnsiTheme="minorHAnsi" w:cstheme="minorHAnsi"/>
          <w:sz w:val="22"/>
          <w:szCs w:val="22"/>
        </w:rPr>
        <w:t xml:space="preserve">, but that is closer to </w:t>
      </w:r>
      <w:r>
        <w:rPr>
          <w:rFonts w:asciiTheme="minorHAnsi" w:hAnsiTheme="minorHAnsi" w:cstheme="minorHAnsi"/>
          <w:sz w:val="22"/>
          <w:szCs w:val="22"/>
        </w:rPr>
        <w:t>the concept of ‘</w:t>
      </w:r>
      <w:r w:rsidRPr="00FD2DEA">
        <w:rPr>
          <w:rFonts w:asciiTheme="minorHAnsi" w:hAnsiTheme="minorHAnsi" w:cstheme="minorHAnsi"/>
          <w:sz w:val="22"/>
          <w:szCs w:val="22"/>
        </w:rPr>
        <w:t>mind</w:t>
      </w:r>
      <w:r>
        <w:rPr>
          <w:rFonts w:asciiTheme="minorHAnsi" w:hAnsiTheme="minorHAnsi" w:cstheme="minorHAnsi"/>
          <w:sz w:val="22"/>
          <w:szCs w:val="22"/>
        </w:rPr>
        <w:t>’</w:t>
      </w:r>
      <w:r w:rsidRPr="00FD2DEA">
        <w:rPr>
          <w:rFonts w:asciiTheme="minorHAnsi" w:hAnsiTheme="minorHAnsi" w:cstheme="minorHAnsi"/>
          <w:sz w:val="22"/>
          <w:szCs w:val="22"/>
        </w:rPr>
        <w:t xml:space="preserve"> or the process of thinking. The ancient Greek term for wisdom is </w:t>
      </w:r>
      <w:bookmarkStart w:id="0" w:name="_Hlk524725685"/>
      <w:r w:rsidRPr="00FD2DEA">
        <w:rPr>
          <w:rFonts w:asciiTheme="minorHAnsi" w:hAnsiTheme="minorHAnsi" w:cstheme="minorHAnsi"/>
          <w:i/>
          <w:sz w:val="22"/>
          <w:szCs w:val="22"/>
        </w:rPr>
        <w:t>p</w:t>
      </w:r>
      <w:r w:rsidRPr="00FD2DEA">
        <w:rPr>
          <w:rFonts w:asciiTheme="minorHAnsi" w:hAnsiTheme="minorHAnsi" w:cstheme="minorHAnsi"/>
          <w:bCs/>
          <w:i/>
          <w:iCs/>
          <w:sz w:val="22"/>
          <w:szCs w:val="22"/>
          <w:shd w:val="clear" w:color="auto" w:fill="FFFFFF"/>
        </w:rPr>
        <w:t>hronesis</w:t>
      </w:r>
      <w:r w:rsidRPr="00FD2DEA">
        <w:rPr>
          <w:rFonts w:asciiTheme="minorHAnsi" w:hAnsiTheme="minorHAnsi" w:cstheme="minorHAnsi"/>
          <w:sz w:val="22"/>
          <w:szCs w:val="22"/>
          <w:shd w:val="clear" w:color="auto" w:fill="FFFFFF"/>
        </w:rPr>
        <w:t> </w:t>
      </w:r>
      <w:bookmarkEnd w:id="0"/>
      <w:r w:rsidRPr="00FD2DEA">
        <w:rPr>
          <w:rFonts w:asciiTheme="minorHAnsi" w:hAnsiTheme="minorHAnsi" w:cstheme="minorHAnsi"/>
          <w:sz w:val="22"/>
          <w:szCs w:val="22"/>
          <w:shd w:val="clear" w:color="auto" w:fill="FFFFFF"/>
        </w:rPr>
        <w:t xml:space="preserve">which means </w:t>
      </w:r>
      <w:bookmarkStart w:id="1" w:name="_Hlk524725729"/>
      <w:r w:rsidRPr="00FD2DEA">
        <w:rPr>
          <w:rFonts w:asciiTheme="minorHAnsi" w:hAnsiTheme="minorHAnsi" w:cstheme="minorHAnsi"/>
          <w:sz w:val="22"/>
          <w:szCs w:val="22"/>
          <w:shd w:val="clear" w:color="auto" w:fill="FFFFFF"/>
        </w:rPr>
        <w:t xml:space="preserve">a specific type of intelligence relevant to practical action, implying both good judgement and excellence of character and habits, or practical virtue. </w:t>
      </w:r>
      <w:bookmarkEnd w:id="1"/>
      <w:r w:rsidRPr="00FD2DEA">
        <w:rPr>
          <w:rFonts w:asciiTheme="minorHAnsi" w:hAnsiTheme="minorHAnsi" w:cstheme="minorHAnsi"/>
          <w:sz w:val="22"/>
          <w:szCs w:val="22"/>
          <w:shd w:val="clear" w:color="auto" w:fill="FFFFFF"/>
        </w:rPr>
        <w:t xml:space="preserve">Phronesis is distinct from </w:t>
      </w:r>
      <w:proofErr w:type="spellStart"/>
      <w:r w:rsidRPr="00FD2DEA">
        <w:rPr>
          <w:rFonts w:asciiTheme="minorHAnsi" w:hAnsiTheme="minorHAnsi" w:cstheme="minorHAnsi"/>
          <w:i/>
          <w:sz w:val="22"/>
          <w:szCs w:val="22"/>
          <w:shd w:val="clear" w:color="auto" w:fill="FFFFFF"/>
        </w:rPr>
        <w:t>phrontis</w:t>
      </w:r>
      <w:proofErr w:type="spellEnd"/>
      <w:r w:rsidRPr="00FD2DEA">
        <w:rPr>
          <w:rFonts w:asciiTheme="minorHAnsi" w:hAnsiTheme="minorHAnsi" w:cstheme="minorHAnsi"/>
          <w:sz w:val="22"/>
          <w:szCs w:val="22"/>
          <w:shd w:val="clear" w:color="auto" w:fill="FFFFFF"/>
        </w:rPr>
        <w:t xml:space="preserve"> (reflection), </w:t>
      </w:r>
      <w:r w:rsidRPr="00FD2DEA">
        <w:rPr>
          <w:rFonts w:asciiTheme="minorHAnsi" w:hAnsiTheme="minorHAnsi" w:cstheme="minorHAnsi"/>
          <w:i/>
          <w:sz w:val="22"/>
          <w:szCs w:val="22"/>
          <w:shd w:val="clear" w:color="auto" w:fill="FFFFFF"/>
        </w:rPr>
        <w:t>metis</w:t>
      </w:r>
      <w:r w:rsidRPr="00FD2DEA">
        <w:rPr>
          <w:rFonts w:asciiTheme="minorHAnsi" w:hAnsiTheme="minorHAnsi" w:cstheme="minorHAnsi"/>
          <w:sz w:val="22"/>
          <w:szCs w:val="22"/>
          <w:shd w:val="clear" w:color="auto" w:fill="FFFFFF"/>
        </w:rPr>
        <w:t xml:space="preserve"> (cunning), </w:t>
      </w:r>
      <w:r w:rsidRPr="00FD2DEA">
        <w:rPr>
          <w:rFonts w:asciiTheme="minorHAnsi" w:hAnsiTheme="minorHAnsi" w:cstheme="minorHAnsi"/>
          <w:i/>
          <w:sz w:val="22"/>
          <w:szCs w:val="22"/>
          <w:shd w:val="clear" w:color="auto" w:fill="FFFFFF"/>
        </w:rPr>
        <w:t>episteme</w:t>
      </w:r>
      <w:r w:rsidRPr="00FD2DEA">
        <w:rPr>
          <w:rFonts w:asciiTheme="minorHAnsi" w:hAnsiTheme="minorHAnsi" w:cstheme="minorHAnsi"/>
          <w:sz w:val="22"/>
          <w:szCs w:val="22"/>
          <w:shd w:val="clear" w:color="auto" w:fill="FFFFFF"/>
        </w:rPr>
        <w:t xml:space="preserve"> (understanding), </w:t>
      </w:r>
      <w:r w:rsidRPr="00FD2DEA">
        <w:rPr>
          <w:rFonts w:asciiTheme="minorHAnsi" w:hAnsiTheme="minorHAnsi" w:cstheme="minorHAnsi"/>
          <w:i/>
          <w:sz w:val="22"/>
          <w:szCs w:val="22"/>
          <w:shd w:val="clear" w:color="auto" w:fill="FFFFFF"/>
        </w:rPr>
        <w:t>gnome</w:t>
      </w:r>
      <w:r w:rsidRPr="00FD2DEA">
        <w:rPr>
          <w:rFonts w:asciiTheme="minorHAnsi" w:hAnsiTheme="minorHAnsi" w:cstheme="minorHAnsi"/>
          <w:sz w:val="22"/>
          <w:szCs w:val="22"/>
          <w:shd w:val="clear" w:color="auto" w:fill="FFFFFF"/>
        </w:rPr>
        <w:t xml:space="preserve"> (intuition) and </w:t>
      </w:r>
      <w:r w:rsidRPr="00FD2DEA">
        <w:rPr>
          <w:rFonts w:asciiTheme="minorHAnsi" w:hAnsiTheme="minorHAnsi" w:cstheme="minorHAnsi"/>
          <w:i/>
          <w:sz w:val="22"/>
          <w:szCs w:val="22"/>
          <w:shd w:val="clear" w:color="auto" w:fill="FFFFFF"/>
        </w:rPr>
        <w:t>techne (technical skill).</w:t>
      </w:r>
      <w:r w:rsidRPr="00FD2DEA">
        <w:rPr>
          <w:rFonts w:asciiTheme="minorHAnsi" w:hAnsiTheme="minorHAnsi" w:cstheme="minorHAnsi"/>
          <w:sz w:val="22"/>
          <w:szCs w:val="22"/>
          <w:shd w:val="clear" w:color="auto" w:fill="FFFFFF"/>
        </w:rPr>
        <w:t xml:space="preserve"> </w:t>
      </w:r>
      <w:r w:rsidRPr="00FD2DEA">
        <w:rPr>
          <w:rFonts w:asciiTheme="minorHAnsi" w:hAnsiTheme="minorHAnsi" w:cstheme="minorHAnsi"/>
          <w:i/>
          <w:iCs/>
          <w:sz w:val="22"/>
          <w:szCs w:val="22"/>
          <w:shd w:val="clear" w:color="auto" w:fill="FFFFFF"/>
        </w:rPr>
        <w:t xml:space="preserve"> </w:t>
      </w:r>
    </w:p>
    <w:p w14:paraId="471AA61D"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646376B5"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 xml:space="preserve">In ancient times both the Eastern and the Western traditional views of intelligence were broad and flexible involving reflection and understanding and not just the accumulation of facts. It is interesting to notice how far modern schooling in both the East and the West has moved away from its own intellectual traditions. Schooling these days in most countries is characterised for students by long hours and rigidity, a lack of passion, a focus on grades, the accumulation of facts and being subjected to continuous, pointless, standards-based assessments. </w:t>
      </w:r>
    </w:p>
    <w:p w14:paraId="56CDE53B"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 xml:space="preserve">A long way indeed from either the Confucian or ancient Greek views of learning, thinking and the development of intelligence. </w:t>
      </w:r>
    </w:p>
    <w:p w14:paraId="33DFDC5B"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 xml:space="preserve"> </w:t>
      </w:r>
    </w:p>
    <w:p w14:paraId="2E155352"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 xml:space="preserve">In the East and </w:t>
      </w:r>
      <w:r>
        <w:rPr>
          <w:rFonts w:asciiTheme="minorHAnsi" w:hAnsiTheme="minorHAnsi" w:cstheme="minorHAnsi"/>
          <w:sz w:val="22"/>
          <w:szCs w:val="22"/>
        </w:rPr>
        <w:t xml:space="preserve">in </w:t>
      </w:r>
      <w:r w:rsidRPr="00FD2DEA">
        <w:rPr>
          <w:rFonts w:asciiTheme="minorHAnsi" w:hAnsiTheme="minorHAnsi" w:cstheme="minorHAnsi"/>
          <w:sz w:val="22"/>
          <w:szCs w:val="22"/>
        </w:rPr>
        <w:t>the West different historical formulations of thinking carried through in the development of language and culture have led to two identifiably different styles of thinking:</w:t>
      </w:r>
    </w:p>
    <w:p w14:paraId="032A367A"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057896F4"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7E43BDB2" w14:textId="77777777" w:rsidR="00B25C93" w:rsidRPr="00FD2DEA" w:rsidRDefault="00B25C93" w:rsidP="00B25C93">
      <w:pPr>
        <w:pStyle w:val="author"/>
        <w:spacing w:before="0" w:beforeAutospacing="0" w:after="0" w:afterAutospacing="0" w:line="276" w:lineRule="auto"/>
        <w:rPr>
          <w:rFonts w:asciiTheme="minorHAnsi" w:hAnsiTheme="minorHAnsi" w:cstheme="minorHAnsi"/>
          <w:b/>
          <w:bCs/>
          <w:sz w:val="22"/>
          <w:szCs w:val="22"/>
        </w:rPr>
      </w:pPr>
      <w:r w:rsidRPr="00FD2DEA">
        <w:rPr>
          <w:rFonts w:asciiTheme="minorHAnsi" w:hAnsiTheme="minorHAnsi" w:cstheme="minorHAnsi"/>
          <w:b/>
          <w:bCs/>
          <w:sz w:val="22"/>
          <w:szCs w:val="22"/>
        </w:rPr>
        <w:t>Test Yourself:</w:t>
      </w:r>
    </w:p>
    <w:p w14:paraId="07D14933"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Which thinking style do you use the most?</w:t>
      </w:r>
    </w:p>
    <w:p w14:paraId="02F1D151"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11F7D537"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 xml:space="preserve">The research behind all of these thinking style tests comes from two sources – </w:t>
      </w:r>
      <w:r w:rsidRPr="00FD2DEA">
        <w:rPr>
          <w:rFonts w:asciiTheme="minorHAnsi" w:hAnsiTheme="minorHAnsi" w:cstheme="minorHAnsi"/>
          <w:i/>
          <w:iCs/>
          <w:sz w:val="22"/>
          <w:szCs w:val="22"/>
        </w:rPr>
        <w:t>The Geography of Thought</w:t>
      </w:r>
      <w:r w:rsidRPr="00FD2DEA">
        <w:rPr>
          <w:rFonts w:asciiTheme="minorHAnsi" w:hAnsiTheme="minorHAnsi" w:cstheme="minorHAnsi"/>
          <w:sz w:val="22"/>
          <w:szCs w:val="22"/>
        </w:rPr>
        <w:t xml:space="preserve"> by Richard Nisbett </w:t>
      </w:r>
      <w:sdt>
        <w:sdtPr>
          <w:rPr>
            <w:rFonts w:asciiTheme="minorHAnsi" w:hAnsiTheme="minorHAnsi" w:cstheme="minorHAnsi"/>
            <w:sz w:val="22"/>
            <w:szCs w:val="22"/>
          </w:rPr>
          <w:id w:val="-1098334232"/>
          <w:citation/>
        </w:sdtPr>
        <w:sdtContent>
          <w:r w:rsidRPr="00FD2DEA">
            <w:rPr>
              <w:rFonts w:asciiTheme="minorHAnsi" w:hAnsiTheme="minorHAnsi" w:cstheme="minorHAnsi"/>
              <w:sz w:val="22"/>
              <w:szCs w:val="22"/>
            </w:rPr>
            <w:fldChar w:fldCharType="begin"/>
          </w:r>
          <w:r w:rsidRPr="00FD2DEA">
            <w:rPr>
              <w:rFonts w:asciiTheme="minorHAnsi" w:hAnsiTheme="minorHAnsi" w:cstheme="minorHAnsi"/>
              <w:sz w:val="22"/>
              <w:szCs w:val="22"/>
            </w:rPr>
            <w:instrText xml:space="preserve"> CITATION Nis03 \l 5129 </w:instrText>
          </w:r>
          <w:r w:rsidRPr="00FD2DEA">
            <w:rPr>
              <w:rFonts w:asciiTheme="minorHAnsi" w:hAnsiTheme="minorHAnsi" w:cstheme="minorHAnsi"/>
              <w:sz w:val="22"/>
              <w:szCs w:val="22"/>
            </w:rPr>
            <w:fldChar w:fldCharType="separate"/>
          </w:r>
          <w:r w:rsidRPr="00FD2DEA">
            <w:rPr>
              <w:rFonts w:asciiTheme="minorHAnsi" w:hAnsiTheme="minorHAnsi" w:cstheme="minorHAnsi"/>
              <w:noProof/>
              <w:sz w:val="22"/>
              <w:szCs w:val="22"/>
            </w:rPr>
            <w:t>(Nisbett R. , 2003)</w:t>
          </w:r>
          <w:r w:rsidRPr="00FD2DEA">
            <w:rPr>
              <w:rFonts w:asciiTheme="minorHAnsi" w:hAnsiTheme="minorHAnsi" w:cstheme="minorHAnsi"/>
              <w:sz w:val="22"/>
              <w:szCs w:val="22"/>
            </w:rPr>
            <w:fldChar w:fldCharType="end"/>
          </w:r>
        </w:sdtContent>
      </w:sdt>
      <w:r w:rsidRPr="00FD2DEA">
        <w:rPr>
          <w:rFonts w:asciiTheme="minorHAnsi" w:hAnsiTheme="minorHAnsi" w:cstheme="minorHAnsi"/>
          <w:sz w:val="22"/>
          <w:szCs w:val="22"/>
        </w:rPr>
        <w:t xml:space="preserve"> and </w:t>
      </w:r>
      <w:r w:rsidRPr="00FD2DEA">
        <w:rPr>
          <w:rFonts w:asciiTheme="minorHAnsi" w:hAnsiTheme="minorHAnsi" w:cstheme="minorHAnsi"/>
          <w:i/>
          <w:iCs/>
          <w:sz w:val="22"/>
          <w:szCs w:val="22"/>
        </w:rPr>
        <w:t>Why Asians are Less Creative than Westerners</w:t>
      </w:r>
      <w:r w:rsidRPr="00FD2DEA">
        <w:rPr>
          <w:rFonts w:asciiTheme="minorHAnsi" w:hAnsiTheme="minorHAnsi" w:cstheme="minorHAnsi"/>
          <w:sz w:val="22"/>
          <w:szCs w:val="22"/>
        </w:rPr>
        <w:t xml:space="preserve"> by Ng </w:t>
      </w:r>
      <w:proofErr w:type="spellStart"/>
      <w:r w:rsidRPr="00FD2DEA">
        <w:rPr>
          <w:rFonts w:asciiTheme="minorHAnsi" w:hAnsiTheme="minorHAnsi" w:cstheme="minorHAnsi"/>
          <w:sz w:val="22"/>
          <w:szCs w:val="22"/>
        </w:rPr>
        <w:t>Aik</w:t>
      </w:r>
      <w:proofErr w:type="spellEnd"/>
      <w:r w:rsidRPr="00FD2DEA">
        <w:rPr>
          <w:rFonts w:asciiTheme="minorHAnsi" w:hAnsiTheme="minorHAnsi" w:cstheme="minorHAnsi"/>
          <w:sz w:val="22"/>
          <w:szCs w:val="22"/>
        </w:rPr>
        <w:t xml:space="preserve"> Kwang </w:t>
      </w:r>
      <w:sdt>
        <w:sdtPr>
          <w:rPr>
            <w:rFonts w:asciiTheme="minorHAnsi" w:hAnsiTheme="minorHAnsi" w:cstheme="minorHAnsi"/>
            <w:sz w:val="22"/>
            <w:szCs w:val="22"/>
          </w:rPr>
          <w:id w:val="-1496415315"/>
          <w:citation/>
        </w:sdtPr>
        <w:sdtContent>
          <w:r w:rsidRPr="00FD2DEA">
            <w:rPr>
              <w:rFonts w:asciiTheme="minorHAnsi" w:hAnsiTheme="minorHAnsi" w:cstheme="minorHAnsi"/>
              <w:sz w:val="22"/>
              <w:szCs w:val="22"/>
            </w:rPr>
            <w:fldChar w:fldCharType="begin"/>
          </w:r>
          <w:r w:rsidRPr="00FD2DEA">
            <w:rPr>
              <w:rFonts w:asciiTheme="minorHAnsi" w:hAnsiTheme="minorHAnsi" w:cstheme="minorHAnsi"/>
              <w:sz w:val="22"/>
              <w:szCs w:val="22"/>
            </w:rPr>
            <w:instrText xml:space="preserve">CITATION Kwa00 \l 5129 </w:instrText>
          </w:r>
          <w:r w:rsidRPr="00FD2DEA">
            <w:rPr>
              <w:rFonts w:asciiTheme="minorHAnsi" w:hAnsiTheme="minorHAnsi" w:cstheme="minorHAnsi"/>
              <w:sz w:val="22"/>
              <w:szCs w:val="22"/>
            </w:rPr>
            <w:fldChar w:fldCharType="separate"/>
          </w:r>
          <w:r w:rsidRPr="00FD2DEA">
            <w:rPr>
              <w:rFonts w:asciiTheme="minorHAnsi" w:hAnsiTheme="minorHAnsi" w:cstheme="minorHAnsi"/>
              <w:noProof/>
              <w:sz w:val="22"/>
              <w:szCs w:val="22"/>
            </w:rPr>
            <w:t>(Kwang, 2000)</w:t>
          </w:r>
          <w:r w:rsidRPr="00FD2DEA">
            <w:rPr>
              <w:rFonts w:asciiTheme="minorHAnsi" w:hAnsiTheme="minorHAnsi" w:cstheme="minorHAnsi"/>
              <w:sz w:val="22"/>
              <w:szCs w:val="22"/>
            </w:rPr>
            <w:fldChar w:fldCharType="end"/>
          </w:r>
        </w:sdtContent>
      </w:sdt>
      <w:r w:rsidRPr="00FD2DEA">
        <w:rPr>
          <w:rFonts w:asciiTheme="minorHAnsi" w:hAnsiTheme="minorHAnsi" w:cstheme="minorHAnsi"/>
          <w:sz w:val="22"/>
          <w:szCs w:val="22"/>
        </w:rPr>
        <w:t>.</w:t>
      </w:r>
    </w:p>
    <w:p w14:paraId="6BBB48B7"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0AE18BFF"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What follows are four tests for you to do to determine your preferential style of thinking. In each test try and capture your first thoughts, your instinctive or most automatic reaction.</w:t>
      </w:r>
    </w:p>
    <w:p w14:paraId="09C45E54"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4D6361D4" w14:textId="77777777" w:rsidR="00B25C93" w:rsidRPr="00FD2DEA" w:rsidRDefault="00B25C93" w:rsidP="00B25C93">
      <w:pPr>
        <w:pStyle w:val="author"/>
        <w:numPr>
          <w:ilvl w:val="0"/>
          <w:numId w:val="8"/>
        </w:numP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Of the following three pictures, which two go together</w:t>
      </w:r>
      <w:r>
        <w:rPr>
          <w:rFonts w:asciiTheme="minorHAnsi" w:hAnsiTheme="minorHAnsi" w:cstheme="minorHAnsi"/>
          <w:sz w:val="22"/>
          <w:szCs w:val="22"/>
        </w:rPr>
        <w:t xml:space="preserve"> best</w:t>
      </w:r>
      <w:r w:rsidRPr="00FD2DEA">
        <w:rPr>
          <w:rFonts w:asciiTheme="minorHAnsi" w:hAnsiTheme="minorHAnsi" w:cstheme="minorHAnsi"/>
          <w:sz w:val="22"/>
          <w:szCs w:val="22"/>
        </w:rPr>
        <w:t xml:space="preserve">? </w:t>
      </w:r>
    </w:p>
    <w:p w14:paraId="78ACED62" w14:textId="77777777" w:rsidR="00B25C93" w:rsidRPr="00FD2DEA" w:rsidRDefault="00B25C93" w:rsidP="00B25C93">
      <w:pPr>
        <w:pStyle w:val="author"/>
        <w:spacing w:before="0" w:beforeAutospacing="0" w:after="0" w:afterAutospacing="0" w:line="276" w:lineRule="auto"/>
        <w:jc w:val="center"/>
        <w:rPr>
          <w:rFonts w:asciiTheme="minorHAnsi" w:hAnsiTheme="minorHAnsi" w:cstheme="minorHAnsi"/>
          <w:sz w:val="22"/>
          <w:szCs w:val="22"/>
        </w:rPr>
      </w:pPr>
      <w:r w:rsidRPr="00FD2DEA">
        <w:rPr>
          <w:rFonts w:asciiTheme="minorHAnsi" w:hAnsiTheme="minorHAnsi" w:cstheme="minorHAnsi"/>
          <w:noProof/>
          <w:sz w:val="22"/>
          <w:szCs w:val="22"/>
        </w:rPr>
        <w:lastRenderedPageBreak/>
        <w:drawing>
          <wp:inline distT="0" distB="0" distL="0" distR="0" wp14:anchorId="3D0E8CEB" wp14:editId="7240E26B">
            <wp:extent cx="969681" cy="962108"/>
            <wp:effectExtent l="0" t="0" r="1905" b="9525"/>
            <wp:docPr id="1028" name="Picture 4" descr="Image result for chicken">
              <a:extLst xmlns:a="http://schemas.openxmlformats.org/drawingml/2006/main">
                <a:ext uri="{FF2B5EF4-FFF2-40B4-BE49-F238E27FC236}">
                  <a16:creationId xmlns:a16="http://schemas.microsoft.com/office/drawing/2014/main" id="{33598CD9-1329-45E1-AE00-6B90E78F8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chicken">
                      <a:extLst>
                        <a:ext uri="{FF2B5EF4-FFF2-40B4-BE49-F238E27FC236}">
                          <a16:creationId xmlns:a16="http://schemas.microsoft.com/office/drawing/2014/main" id="{33598CD9-1329-45E1-AE00-6B90E78F8E31}"/>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5885" cy="1017873"/>
                    </a:xfrm>
                    <a:prstGeom prst="rect">
                      <a:avLst/>
                    </a:prstGeom>
                    <a:noFill/>
                  </pic:spPr>
                </pic:pic>
              </a:graphicData>
            </a:graphic>
          </wp:inline>
        </w:drawing>
      </w:r>
    </w:p>
    <w:p w14:paraId="1D1BD3F8"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4F9FA53D" w14:textId="77777777" w:rsidR="00B25C93" w:rsidRPr="00FD2DEA" w:rsidRDefault="00B25C93" w:rsidP="00B25C93">
      <w:pPr>
        <w:pStyle w:val="author"/>
        <w:spacing w:before="0" w:beforeAutospacing="0" w:after="0" w:afterAutospacing="0" w:line="276" w:lineRule="auto"/>
        <w:jc w:val="center"/>
        <w:rPr>
          <w:rFonts w:asciiTheme="minorHAnsi" w:hAnsiTheme="minorHAnsi" w:cstheme="minorHAnsi"/>
          <w:sz w:val="22"/>
          <w:szCs w:val="22"/>
        </w:rPr>
      </w:pPr>
      <w:r w:rsidRPr="00FD2DEA">
        <w:rPr>
          <w:rFonts w:asciiTheme="minorHAnsi" w:hAnsiTheme="minorHAnsi" w:cstheme="minorHAnsi"/>
          <w:noProof/>
          <w:sz w:val="22"/>
          <w:szCs w:val="22"/>
        </w:rPr>
        <w:drawing>
          <wp:inline distT="0" distB="0" distL="0" distR="0" wp14:anchorId="3E3B14EA" wp14:editId="7B9E1A2A">
            <wp:extent cx="1366803" cy="938254"/>
            <wp:effectExtent l="0" t="0" r="5080" b="0"/>
            <wp:docPr id="1026" name="Picture 2" descr="Image result for cow">
              <a:extLst xmlns:a="http://schemas.openxmlformats.org/drawingml/2006/main">
                <a:ext uri="{FF2B5EF4-FFF2-40B4-BE49-F238E27FC236}">
                  <a16:creationId xmlns:a16="http://schemas.microsoft.com/office/drawing/2014/main" id="{519E59DA-4706-4AFD-989F-97485A1C2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cow">
                      <a:extLst>
                        <a:ext uri="{FF2B5EF4-FFF2-40B4-BE49-F238E27FC236}">
                          <a16:creationId xmlns:a16="http://schemas.microsoft.com/office/drawing/2014/main" id="{519E59DA-4706-4AFD-989F-97485A1C290E}"/>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3750" cy="956752"/>
                    </a:xfrm>
                    <a:prstGeom prst="rect">
                      <a:avLst/>
                    </a:prstGeom>
                    <a:noFill/>
                  </pic:spPr>
                </pic:pic>
              </a:graphicData>
            </a:graphic>
          </wp:inline>
        </w:drawing>
      </w:r>
    </w:p>
    <w:p w14:paraId="3A92EE53"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31CDC5D6" w14:textId="77777777" w:rsidR="00B25C93" w:rsidRPr="00FD2DEA" w:rsidRDefault="00B25C93" w:rsidP="00B25C93">
      <w:pPr>
        <w:pStyle w:val="author"/>
        <w:spacing w:before="0" w:beforeAutospacing="0" w:after="0" w:afterAutospacing="0" w:line="276" w:lineRule="auto"/>
        <w:jc w:val="center"/>
        <w:rPr>
          <w:rFonts w:asciiTheme="minorHAnsi" w:hAnsiTheme="minorHAnsi" w:cstheme="minorHAnsi"/>
          <w:sz w:val="22"/>
          <w:szCs w:val="22"/>
        </w:rPr>
      </w:pPr>
      <w:r w:rsidRPr="00FD2DEA">
        <w:rPr>
          <w:rFonts w:asciiTheme="minorHAnsi" w:hAnsiTheme="minorHAnsi" w:cstheme="minorHAnsi"/>
          <w:noProof/>
          <w:sz w:val="22"/>
          <w:szCs w:val="22"/>
        </w:rPr>
        <w:drawing>
          <wp:inline distT="0" distB="0" distL="0" distR="0" wp14:anchorId="7B5EB032" wp14:editId="7A9A6094">
            <wp:extent cx="1545274" cy="1033670"/>
            <wp:effectExtent l="0" t="0" r="0" b="0"/>
            <wp:docPr id="1030" name="Picture 6" descr="Image result for grass">
              <a:extLst xmlns:a="http://schemas.openxmlformats.org/drawingml/2006/main">
                <a:ext uri="{FF2B5EF4-FFF2-40B4-BE49-F238E27FC236}">
                  <a16:creationId xmlns:a16="http://schemas.microsoft.com/office/drawing/2014/main" id="{26E659AC-9E1B-4B08-8C91-55F7E2015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 result for grass">
                      <a:extLst>
                        <a:ext uri="{FF2B5EF4-FFF2-40B4-BE49-F238E27FC236}">
                          <a16:creationId xmlns:a16="http://schemas.microsoft.com/office/drawing/2014/main" id="{26E659AC-9E1B-4B08-8C91-55F7E20157A4}"/>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2233" cy="1058393"/>
                    </a:xfrm>
                    <a:prstGeom prst="rect">
                      <a:avLst/>
                    </a:prstGeom>
                    <a:noFill/>
                  </pic:spPr>
                </pic:pic>
              </a:graphicData>
            </a:graphic>
          </wp:inline>
        </w:drawing>
      </w:r>
    </w:p>
    <w:p w14:paraId="3E2B7ADC"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251514C7" w14:textId="77777777" w:rsidR="00B25C93" w:rsidRPr="00FD2DEA" w:rsidRDefault="00B25C93" w:rsidP="00B25C93">
      <w:pPr>
        <w:pStyle w:val="author"/>
        <w:numPr>
          <w:ilvl w:val="0"/>
          <w:numId w:val="3"/>
        </w:numP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If you chose the chicken and the cow you are deciding that they go together because they are both animals. Correct?</w:t>
      </w:r>
    </w:p>
    <w:p w14:paraId="34CADB61"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 xml:space="preserve">What you are doing is categorising. </w:t>
      </w:r>
      <w:proofErr w:type="gramStart"/>
      <w:r w:rsidRPr="00FD2DEA">
        <w:rPr>
          <w:rFonts w:asciiTheme="minorHAnsi" w:hAnsiTheme="minorHAnsi" w:cstheme="minorHAnsi"/>
          <w:sz w:val="22"/>
          <w:szCs w:val="22"/>
        </w:rPr>
        <w:t>In order to</w:t>
      </w:r>
      <w:proofErr w:type="gramEnd"/>
      <w:r w:rsidRPr="00FD2DEA">
        <w:rPr>
          <w:rFonts w:asciiTheme="minorHAnsi" w:hAnsiTheme="minorHAnsi" w:cstheme="minorHAnsi"/>
          <w:sz w:val="22"/>
          <w:szCs w:val="22"/>
        </w:rPr>
        <w:t xml:space="preserve"> find a commonality, you are moving up to the next level of abstraction to see what larger field of description or categorisation any two of these three pictures belong to. You are thinking of the commonality between the two from the point of view of what they represent, that they are two separate members of one taxonomic group - animals.</w:t>
      </w:r>
    </w:p>
    <w:p w14:paraId="654EDDD8"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1DA19DDC" w14:textId="77777777" w:rsidR="00B25C93" w:rsidRPr="00FD2DEA" w:rsidRDefault="00B25C93" w:rsidP="00B25C93">
      <w:pPr>
        <w:pStyle w:val="author"/>
        <w:numPr>
          <w:ilvl w:val="0"/>
          <w:numId w:val="3"/>
        </w:numP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 xml:space="preserve"> If you chose the cow and the grass then you are deciding that they go together because the cow eats the grass. Correct?</w:t>
      </w:r>
    </w:p>
    <w:p w14:paraId="5C31B419"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 xml:space="preserve">What you are doing is focusing on relationships between the things in the pictures rather than trying to classify the pictures themselves. For you, a sense of connectedness between any two things comes from interaction and you are looking for the most common interactions between any two of the three pictures. </w:t>
      </w:r>
    </w:p>
    <w:p w14:paraId="79D6FF3E"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480AD766" w14:textId="77777777" w:rsidR="00B25C93" w:rsidRPr="00FD2DEA" w:rsidRDefault="00B25C93" w:rsidP="00B25C93">
      <w:pPr>
        <w:pStyle w:val="author"/>
        <w:numPr>
          <w:ilvl w:val="0"/>
          <w:numId w:val="3"/>
        </w:numP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If you chose the chicken and the grass. You have a very creative imagination.</w:t>
      </w:r>
    </w:p>
    <w:p w14:paraId="62F630DB" w14:textId="77777777" w:rsidR="00B25C93" w:rsidRDefault="00B25C93" w:rsidP="00B25C93">
      <w:pPr>
        <w:pStyle w:val="author"/>
        <w:spacing w:before="0" w:beforeAutospacing="0" w:after="0" w:afterAutospacing="0" w:line="276" w:lineRule="auto"/>
        <w:rPr>
          <w:rFonts w:asciiTheme="minorHAnsi" w:hAnsiTheme="minorHAnsi" w:cstheme="minorHAnsi"/>
          <w:sz w:val="22"/>
          <w:szCs w:val="22"/>
        </w:rPr>
      </w:pPr>
    </w:p>
    <w:p w14:paraId="19BD225E"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07DC3DB4"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2737D5CB" w14:textId="77777777" w:rsidR="00B25C93" w:rsidRPr="00FD2DEA" w:rsidRDefault="00B25C93" w:rsidP="00B25C93">
      <w:pPr>
        <w:pStyle w:val="author"/>
        <w:numPr>
          <w:ilvl w:val="0"/>
          <w:numId w:val="7"/>
        </w:numP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is more of a Western style of thinking.</w:t>
      </w:r>
    </w:p>
    <w:p w14:paraId="24119774" w14:textId="77777777" w:rsidR="00B25C93" w:rsidRPr="00FD2DEA" w:rsidRDefault="00B25C93" w:rsidP="00B25C93">
      <w:pPr>
        <w:pStyle w:val="author"/>
        <w:numPr>
          <w:ilvl w:val="0"/>
          <w:numId w:val="7"/>
        </w:numP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is more of an Eastern style of thinking.</w:t>
      </w:r>
    </w:p>
    <w:p w14:paraId="51EBF449" w14:textId="77777777" w:rsidR="00B25C93" w:rsidRPr="00FD2DEA" w:rsidRDefault="00B25C93" w:rsidP="00B25C93">
      <w:pPr>
        <w:pStyle w:val="author"/>
        <w:spacing w:before="0" w:beforeAutospacing="0" w:after="0" w:afterAutospacing="0" w:line="276" w:lineRule="auto"/>
        <w:ind w:left="360"/>
        <w:rPr>
          <w:rFonts w:asciiTheme="minorHAnsi" w:hAnsiTheme="minorHAnsi" w:cstheme="minorHAnsi"/>
          <w:sz w:val="22"/>
          <w:szCs w:val="22"/>
        </w:rPr>
      </w:pPr>
    </w:p>
    <w:p w14:paraId="640788BB" w14:textId="77777777" w:rsidR="00B25C93" w:rsidRPr="00FD2DEA" w:rsidRDefault="00B25C93" w:rsidP="00B25C93">
      <w:pPr>
        <w:pStyle w:val="author"/>
        <w:spacing w:before="0" w:beforeAutospacing="0" w:after="0" w:afterAutospacing="0" w:line="276" w:lineRule="auto"/>
        <w:ind w:left="360"/>
        <w:rPr>
          <w:rFonts w:asciiTheme="minorHAnsi" w:hAnsiTheme="minorHAnsi" w:cstheme="minorHAnsi"/>
          <w:sz w:val="22"/>
          <w:szCs w:val="22"/>
        </w:rPr>
      </w:pPr>
    </w:p>
    <w:p w14:paraId="10156393"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1F99B8A0" w14:textId="77777777" w:rsidR="00B25C93" w:rsidRPr="00FD2DEA" w:rsidRDefault="00B25C93" w:rsidP="00B25C93">
      <w:pPr>
        <w:pStyle w:val="author"/>
        <w:numPr>
          <w:ilvl w:val="0"/>
          <w:numId w:val="8"/>
        </w:numP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 xml:space="preserve">Look at the first object and decide which group it fits best with </w:t>
      </w:r>
      <w:r>
        <w:rPr>
          <w:rFonts w:asciiTheme="minorHAnsi" w:hAnsiTheme="minorHAnsi" w:cstheme="minorHAnsi"/>
          <w:sz w:val="22"/>
          <w:szCs w:val="22"/>
        </w:rPr>
        <w:t>–</w:t>
      </w:r>
      <w:r w:rsidRPr="00FD2DEA">
        <w:rPr>
          <w:rFonts w:asciiTheme="minorHAnsi" w:hAnsiTheme="minorHAnsi" w:cstheme="minorHAnsi"/>
          <w:sz w:val="22"/>
          <w:szCs w:val="22"/>
        </w:rPr>
        <w:t xml:space="preserve"> Group 1 or Group 2? </w:t>
      </w:r>
    </w:p>
    <w:p w14:paraId="674C8AC5" w14:textId="77777777" w:rsidR="00B25C93" w:rsidRPr="00FD2DEA" w:rsidRDefault="00B25C93" w:rsidP="00B25C93">
      <w:pPr>
        <w:pStyle w:val="author"/>
        <w:spacing w:before="0" w:beforeAutospacing="0" w:after="0" w:afterAutospacing="0" w:line="276" w:lineRule="auto"/>
        <w:jc w:val="center"/>
        <w:rPr>
          <w:rFonts w:asciiTheme="minorHAnsi" w:hAnsiTheme="minorHAnsi" w:cstheme="minorHAnsi"/>
          <w:sz w:val="22"/>
          <w:szCs w:val="22"/>
        </w:rPr>
      </w:pPr>
    </w:p>
    <w:p w14:paraId="7E748DB1" w14:textId="77777777" w:rsidR="00B25C93" w:rsidRPr="00FD2DEA" w:rsidRDefault="00B25C93" w:rsidP="00B25C93">
      <w:pPr>
        <w:pStyle w:val="author"/>
        <w:spacing w:before="0" w:beforeAutospacing="0" w:after="0" w:afterAutospacing="0" w:line="276" w:lineRule="auto"/>
        <w:jc w:val="center"/>
        <w:rPr>
          <w:rFonts w:asciiTheme="minorHAnsi" w:hAnsiTheme="minorHAnsi" w:cstheme="minorHAnsi"/>
          <w:sz w:val="22"/>
          <w:szCs w:val="22"/>
        </w:rPr>
      </w:pPr>
      <w:r w:rsidRPr="00FD2DEA">
        <w:rPr>
          <w:rFonts w:asciiTheme="minorHAnsi" w:hAnsiTheme="minorHAnsi" w:cstheme="minorHAnsi"/>
          <w:noProof/>
          <w:sz w:val="22"/>
          <w:szCs w:val="22"/>
        </w:rPr>
        <w:lastRenderedPageBreak/>
        <w:drawing>
          <wp:inline distT="0" distB="0" distL="0" distR="0" wp14:anchorId="0F77F5B2" wp14:editId="08195EBF">
            <wp:extent cx="1200150" cy="969553"/>
            <wp:effectExtent l="0" t="0" r="0" b="2540"/>
            <wp:docPr id="1" name="Picture 1">
              <a:extLst xmlns:a="http://schemas.openxmlformats.org/drawingml/2006/main">
                <a:ext uri="{FF2B5EF4-FFF2-40B4-BE49-F238E27FC236}">
                  <a16:creationId xmlns:a16="http://schemas.microsoft.com/office/drawing/2014/main" id="{4B3A5845-85C0-488B-A5C6-7BF40FA5F7CC}"/>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B3A5845-85C0-488B-A5C6-7BF40FA5F7CC}"/>
                        </a:ext>
                      </a:extLst>
                    </pic:cNvPr>
                    <pic:cNvPicPr/>
                  </pic:nvPicPr>
                  <pic:blipFill rotWithShape="1">
                    <a:blip r:embed="rId9" cstate="print">
                      <a:extLst>
                        <a:ext uri="{28A0092B-C50C-407E-A947-70E740481C1C}">
                          <a14:useLocalDpi xmlns:a14="http://schemas.microsoft.com/office/drawing/2010/main" val="0"/>
                        </a:ext>
                      </a:extLst>
                    </a:blip>
                    <a:srcRect l="31140" t="23340" r="56136" b="58583"/>
                    <a:stretch/>
                  </pic:blipFill>
                  <pic:spPr bwMode="auto">
                    <a:xfrm rot="10800000">
                      <a:off x="0" y="0"/>
                      <a:ext cx="1227054" cy="991288"/>
                    </a:xfrm>
                    <a:prstGeom prst="rect">
                      <a:avLst/>
                    </a:prstGeom>
                    <a:noFill/>
                    <a:ln>
                      <a:noFill/>
                    </a:ln>
                    <a:extLst>
                      <a:ext uri="{53640926-AAD7-44D8-BBD7-CCE9431645EC}">
                        <a14:shadowObscured xmlns:a14="http://schemas.microsoft.com/office/drawing/2010/main"/>
                      </a:ext>
                    </a:extLst>
                  </pic:spPr>
                </pic:pic>
              </a:graphicData>
            </a:graphic>
          </wp:inline>
        </w:drawing>
      </w:r>
    </w:p>
    <w:p w14:paraId="586CAF3E" w14:textId="77777777" w:rsidR="00B25C93" w:rsidRPr="00FD2DEA" w:rsidRDefault="00B25C93" w:rsidP="00B25C93">
      <w:pPr>
        <w:pStyle w:val="author"/>
        <w:spacing w:before="0" w:beforeAutospacing="0" w:after="0" w:afterAutospacing="0" w:line="276" w:lineRule="auto"/>
        <w:jc w:val="center"/>
        <w:rPr>
          <w:rFonts w:asciiTheme="minorHAnsi" w:hAnsiTheme="minorHAnsi" w:cstheme="minorHAnsi"/>
          <w:sz w:val="22"/>
          <w:szCs w:val="22"/>
        </w:rPr>
      </w:pPr>
      <w:r w:rsidRPr="00FD2DEA">
        <w:rPr>
          <w:rFonts w:asciiTheme="minorHAnsi" w:hAnsiTheme="minorHAnsi" w:cstheme="minorHAnsi"/>
          <w:noProof/>
          <w:sz w:val="22"/>
          <w:szCs w:val="22"/>
        </w:rPr>
        <w:drawing>
          <wp:inline distT="0" distB="0" distL="0" distR="0" wp14:anchorId="505477E3" wp14:editId="538829A3">
            <wp:extent cx="3713259" cy="2027583"/>
            <wp:effectExtent l="0" t="0" r="1905" b="0"/>
            <wp:docPr id="3" name="Picture 3">
              <a:extLst xmlns:a="http://schemas.openxmlformats.org/drawingml/2006/main">
                <a:ext uri="{FF2B5EF4-FFF2-40B4-BE49-F238E27FC236}">
                  <a16:creationId xmlns:a16="http://schemas.microsoft.com/office/drawing/2014/main" id="{4B3A5845-85C0-488B-A5C6-7BF40FA5F7CC}"/>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B3A5845-85C0-488B-A5C6-7BF40FA5F7CC}"/>
                        </a:ext>
                      </a:extLst>
                    </pic:cNvPr>
                    <pic:cNvPicPr/>
                  </pic:nvPicPr>
                  <pic:blipFill rotWithShape="1">
                    <a:blip r:embed="rId10" cstate="print">
                      <a:extLst>
                        <a:ext uri="{28A0092B-C50C-407E-A947-70E740481C1C}">
                          <a14:useLocalDpi xmlns:a14="http://schemas.microsoft.com/office/drawing/2010/main" val="0"/>
                        </a:ext>
                      </a:extLst>
                    </a:blip>
                    <a:srcRect l="12199" t="46913" r="35415" b="8181"/>
                    <a:stretch/>
                  </pic:blipFill>
                  <pic:spPr bwMode="auto">
                    <a:xfrm rot="10800000">
                      <a:off x="0" y="0"/>
                      <a:ext cx="3808328" cy="2079494"/>
                    </a:xfrm>
                    <a:prstGeom prst="rect">
                      <a:avLst/>
                    </a:prstGeom>
                    <a:noFill/>
                    <a:ln>
                      <a:noFill/>
                    </a:ln>
                    <a:extLst>
                      <a:ext uri="{53640926-AAD7-44D8-BBD7-CCE9431645EC}">
                        <a14:shadowObscured xmlns:a14="http://schemas.microsoft.com/office/drawing/2010/main"/>
                      </a:ext>
                    </a:extLst>
                  </pic:spPr>
                </pic:pic>
              </a:graphicData>
            </a:graphic>
          </wp:inline>
        </w:drawing>
      </w:r>
    </w:p>
    <w:p w14:paraId="5C8BC5BF"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792E23A0"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7A1998E6"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Choosing Group 1 demonstrates more Eastern thinking – choosing ‘shape similarity by group’ over ‘shape similarity by category’.</w:t>
      </w:r>
    </w:p>
    <w:p w14:paraId="430B9F6C"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Choosing Group 2 demonstrates more Western thinking – choosing ‘shape similarity by category’ over ‘shape similarity by group’.</w:t>
      </w:r>
    </w:p>
    <w:p w14:paraId="2FEFD36B"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 xml:space="preserve"> </w:t>
      </w:r>
    </w:p>
    <w:p w14:paraId="1E8E79E7"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5AE75813" w14:textId="77777777" w:rsidR="00B25C93" w:rsidRPr="00FD2DEA" w:rsidRDefault="00B25C93" w:rsidP="00B25C93">
      <w:pPr>
        <w:pStyle w:val="author"/>
        <w:numPr>
          <w:ilvl w:val="0"/>
          <w:numId w:val="8"/>
        </w:numP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 xml:space="preserve">Look at the first picture below. </w:t>
      </w:r>
      <w:r>
        <w:rPr>
          <w:rFonts w:asciiTheme="minorHAnsi" w:hAnsiTheme="minorHAnsi" w:cstheme="minorHAnsi"/>
          <w:sz w:val="22"/>
          <w:szCs w:val="22"/>
        </w:rPr>
        <w:t>Then</w:t>
      </w:r>
      <w:r w:rsidRPr="00FD2DEA">
        <w:rPr>
          <w:rFonts w:asciiTheme="minorHAnsi" w:hAnsiTheme="minorHAnsi" w:cstheme="minorHAnsi"/>
          <w:sz w:val="22"/>
          <w:szCs w:val="22"/>
        </w:rPr>
        <w:t xml:space="preserve"> decide, which of the other two pictures does it go with best?  </w:t>
      </w:r>
    </w:p>
    <w:p w14:paraId="782AC3D7" w14:textId="77777777" w:rsidR="00B25C93" w:rsidRPr="00FD2DEA" w:rsidRDefault="00B25C93" w:rsidP="00B25C93">
      <w:pPr>
        <w:pStyle w:val="author"/>
        <w:spacing w:before="0" w:beforeAutospacing="0" w:after="0" w:afterAutospacing="0" w:line="276" w:lineRule="auto"/>
        <w:ind w:left="1778"/>
        <w:rPr>
          <w:rFonts w:asciiTheme="minorHAnsi" w:hAnsiTheme="minorHAnsi" w:cstheme="minorHAnsi"/>
          <w:sz w:val="22"/>
          <w:szCs w:val="22"/>
        </w:rPr>
      </w:pPr>
      <w:r w:rsidRPr="00FD2DEA">
        <w:rPr>
          <w:rFonts w:asciiTheme="minorHAnsi" w:hAnsiTheme="minorHAnsi" w:cstheme="minorHAnsi"/>
          <w:sz w:val="22"/>
          <w:szCs w:val="22"/>
        </w:rPr>
        <w:t xml:space="preserve"> </w:t>
      </w:r>
    </w:p>
    <w:p w14:paraId="1BA80160" w14:textId="77777777" w:rsidR="00B25C93" w:rsidRPr="00FD2DEA" w:rsidRDefault="00B25C93" w:rsidP="00B25C93">
      <w:pPr>
        <w:pStyle w:val="author"/>
        <w:spacing w:before="0" w:beforeAutospacing="0" w:after="0" w:afterAutospacing="0" w:line="276" w:lineRule="auto"/>
        <w:jc w:val="center"/>
        <w:rPr>
          <w:rFonts w:asciiTheme="minorHAnsi" w:hAnsiTheme="minorHAnsi" w:cstheme="minorHAnsi"/>
          <w:sz w:val="22"/>
          <w:szCs w:val="22"/>
        </w:rPr>
      </w:pPr>
      <w:r w:rsidRPr="00FD2DEA">
        <w:rPr>
          <w:rFonts w:asciiTheme="minorHAnsi" w:hAnsiTheme="minorHAnsi" w:cstheme="minorHAnsi"/>
          <w:sz w:val="22"/>
          <w:szCs w:val="22"/>
        </w:rPr>
        <w:t>A rubber car tyre</w:t>
      </w:r>
    </w:p>
    <w:p w14:paraId="17497381" w14:textId="77777777" w:rsidR="00B25C93" w:rsidRPr="00FD2DEA" w:rsidRDefault="00B25C93" w:rsidP="00B25C93">
      <w:pPr>
        <w:pStyle w:val="author"/>
        <w:spacing w:before="0" w:beforeAutospacing="0" w:after="0" w:afterAutospacing="0" w:line="276" w:lineRule="auto"/>
        <w:jc w:val="center"/>
        <w:rPr>
          <w:rFonts w:asciiTheme="minorHAnsi" w:hAnsiTheme="minorHAnsi" w:cstheme="minorHAnsi"/>
          <w:sz w:val="22"/>
          <w:szCs w:val="22"/>
        </w:rPr>
      </w:pPr>
      <w:r w:rsidRPr="00FD2DEA">
        <w:rPr>
          <w:rFonts w:asciiTheme="minorHAnsi" w:hAnsiTheme="minorHAnsi" w:cstheme="minorHAnsi"/>
          <w:noProof/>
          <w:sz w:val="22"/>
          <w:szCs w:val="22"/>
        </w:rPr>
        <w:drawing>
          <wp:inline distT="0" distB="0" distL="0" distR="0" wp14:anchorId="29B23AD1" wp14:editId="35872D48">
            <wp:extent cx="1470991" cy="1470991"/>
            <wp:effectExtent l="0" t="0" r="0" b="0"/>
            <wp:docPr id="4" name="Picture 4" descr="Ccdes 4pcs 1.9 45mm RC Crawler Car Rubber Tire Wheel Tyre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es 4pcs 1.9 45mm RC Crawler Car Rubber Tire Wheel Tyre with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7203" cy="1547203"/>
                    </a:xfrm>
                    <a:prstGeom prst="rect">
                      <a:avLst/>
                    </a:prstGeom>
                    <a:noFill/>
                    <a:ln>
                      <a:noFill/>
                    </a:ln>
                  </pic:spPr>
                </pic:pic>
              </a:graphicData>
            </a:graphic>
          </wp:inline>
        </w:drawing>
      </w:r>
    </w:p>
    <w:p w14:paraId="77E0D51B"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075C6453" w14:textId="77777777" w:rsidR="00B25C93" w:rsidRPr="00FD2DEA" w:rsidRDefault="00B25C93" w:rsidP="00B25C93">
      <w:pPr>
        <w:pStyle w:val="author"/>
        <w:numPr>
          <w:ilvl w:val="0"/>
          <w:numId w:val="4"/>
        </w:numP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A wooden wheel</w:t>
      </w:r>
    </w:p>
    <w:p w14:paraId="7E816CD6" w14:textId="77777777" w:rsidR="00B25C93" w:rsidRPr="00FD2DEA" w:rsidRDefault="00B25C93" w:rsidP="00B25C93">
      <w:pPr>
        <w:pStyle w:val="author"/>
        <w:spacing w:before="0" w:beforeAutospacing="0" w:after="0" w:afterAutospacing="0" w:line="276" w:lineRule="auto"/>
        <w:jc w:val="center"/>
        <w:rPr>
          <w:rFonts w:asciiTheme="minorHAnsi" w:hAnsiTheme="minorHAnsi" w:cstheme="minorHAnsi"/>
          <w:sz w:val="22"/>
          <w:szCs w:val="22"/>
        </w:rPr>
      </w:pPr>
      <w:r w:rsidRPr="00FD2DEA">
        <w:rPr>
          <w:rFonts w:asciiTheme="minorHAnsi" w:hAnsiTheme="minorHAnsi" w:cstheme="minorHAnsi"/>
          <w:noProof/>
          <w:sz w:val="22"/>
          <w:szCs w:val="22"/>
        </w:rPr>
        <w:drawing>
          <wp:inline distT="0" distB="0" distL="0" distR="0" wp14:anchorId="1DE0F654" wp14:editId="5A56BFD1">
            <wp:extent cx="1367624" cy="1367624"/>
            <wp:effectExtent l="0" t="0" r="4445" b="4445"/>
            <wp:docPr id="7" name="Picture 7" descr="Original British Victorian Era Cannon Wagon Wooden Wheel- 36 I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iginal British Victorian Era Cannon Wagon Wooden Wheel- 36 Inch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2247" cy="1392247"/>
                    </a:xfrm>
                    <a:prstGeom prst="rect">
                      <a:avLst/>
                    </a:prstGeom>
                    <a:noFill/>
                    <a:ln>
                      <a:noFill/>
                    </a:ln>
                  </pic:spPr>
                </pic:pic>
              </a:graphicData>
            </a:graphic>
          </wp:inline>
        </w:drawing>
      </w:r>
    </w:p>
    <w:p w14:paraId="46393FC8"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1D50C72E" w14:textId="77777777" w:rsidR="00B25C93" w:rsidRPr="00FD2DEA" w:rsidRDefault="00B25C93" w:rsidP="00B25C93">
      <w:pPr>
        <w:pStyle w:val="author"/>
        <w:numPr>
          <w:ilvl w:val="0"/>
          <w:numId w:val="4"/>
        </w:numPr>
        <w:spacing w:before="0" w:beforeAutospacing="0" w:after="0" w:afterAutospacing="0" w:line="276" w:lineRule="auto"/>
        <w:rPr>
          <w:rFonts w:asciiTheme="minorHAnsi" w:hAnsiTheme="minorHAnsi" w:cstheme="minorHAnsi"/>
          <w:noProof/>
          <w:sz w:val="22"/>
          <w:szCs w:val="22"/>
        </w:rPr>
      </w:pPr>
      <w:r w:rsidRPr="00FD2DEA">
        <w:rPr>
          <w:rFonts w:asciiTheme="minorHAnsi" w:hAnsiTheme="minorHAnsi" w:cstheme="minorHAnsi"/>
          <w:noProof/>
          <w:sz w:val="22"/>
          <w:szCs w:val="22"/>
        </w:rPr>
        <w:lastRenderedPageBreak/>
        <w:t>A rubber ball</w:t>
      </w:r>
    </w:p>
    <w:p w14:paraId="3EF5FC4A" w14:textId="77777777" w:rsidR="00B25C93" w:rsidRPr="00FD2DEA" w:rsidRDefault="00B25C93" w:rsidP="00B25C93">
      <w:pPr>
        <w:pStyle w:val="author"/>
        <w:spacing w:before="0" w:beforeAutospacing="0" w:after="0" w:afterAutospacing="0" w:line="276" w:lineRule="auto"/>
        <w:jc w:val="center"/>
        <w:rPr>
          <w:rFonts w:asciiTheme="minorHAnsi" w:hAnsiTheme="minorHAnsi" w:cstheme="minorHAnsi"/>
          <w:sz w:val="22"/>
          <w:szCs w:val="22"/>
        </w:rPr>
      </w:pPr>
      <w:r w:rsidRPr="00FD2DEA">
        <w:rPr>
          <w:rFonts w:asciiTheme="minorHAnsi" w:hAnsiTheme="minorHAnsi" w:cstheme="minorHAnsi"/>
          <w:noProof/>
          <w:sz w:val="22"/>
          <w:szCs w:val="22"/>
        </w:rPr>
        <w:drawing>
          <wp:inline distT="0" distB="0" distL="0" distR="0" wp14:anchorId="4D09A3D2" wp14:editId="05DE828A">
            <wp:extent cx="1343770" cy="1334063"/>
            <wp:effectExtent l="0" t="0" r="8890" b="0"/>
            <wp:docPr id="6" name="Picture 6" descr="Rubber Ball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bber Ball Images, Stock Photos &amp; Vectors | Shutter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058" t="5373" r="6117" b="10751"/>
                    <a:stretch/>
                  </pic:blipFill>
                  <pic:spPr bwMode="auto">
                    <a:xfrm>
                      <a:off x="0" y="0"/>
                      <a:ext cx="1402659" cy="1392527"/>
                    </a:xfrm>
                    <a:prstGeom prst="rect">
                      <a:avLst/>
                    </a:prstGeom>
                    <a:noFill/>
                    <a:ln>
                      <a:noFill/>
                    </a:ln>
                    <a:extLst>
                      <a:ext uri="{53640926-AAD7-44D8-BBD7-CCE9431645EC}">
                        <a14:shadowObscured xmlns:a14="http://schemas.microsoft.com/office/drawing/2010/main"/>
                      </a:ext>
                    </a:extLst>
                  </pic:spPr>
                </pic:pic>
              </a:graphicData>
            </a:graphic>
          </wp:inline>
        </w:drawing>
      </w:r>
    </w:p>
    <w:p w14:paraId="7DDC6EC8" w14:textId="77777777" w:rsidR="00B25C93" w:rsidRPr="00FD2DEA" w:rsidRDefault="00B25C93" w:rsidP="00B25C93">
      <w:pPr>
        <w:pStyle w:val="author"/>
        <w:spacing w:before="0" w:beforeAutospacing="0" w:after="0" w:afterAutospacing="0" w:line="276" w:lineRule="auto"/>
        <w:ind w:left="720"/>
        <w:rPr>
          <w:rFonts w:asciiTheme="minorHAnsi" w:hAnsiTheme="minorHAnsi" w:cstheme="minorHAnsi"/>
          <w:sz w:val="22"/>
          <w:szCs w:val="22"/>
        </w:rPr>
      </w:pPr>
    </w:p>
    <w:p w14:paraId="0C92EEF0" w14:textId="77777777" w:rsidR="00B25C93" w:rsidRPr="00FD2DEA" w:rsidRDefault="00B25C93" w:rsidP="00B25C93">
      <w:pPr>
        <w:pStyle w:val="author"/>
        <w:spacing w:before="0" w:beforeAutospacing="0" w:after="0" w:afterAutospacing="0" w:line="276" w:lineRule="auto"/>
        <w:ind w:left="720"/>
        <w:rPr>
          <w:rFonts w:asciiTheme="minorHAnsi" w:hAnsiTheme="minorHAnsi" w:cstheme="minorHAnsi"/>
          <w:sz w:val="22"/>
          <w:szCs w:val="22"/>
        </w:rPr>
      </w:pPr>
    </w:p>
    <w:p w14:paraId="7BE51F76" w14:textId="77777777" w:rsidR="00B25C93" w:rsidRPr="00FD2DEA" w:rsidRDefault="00B25C93" w:rsidP="00B25C93">
      <w:pPr>
        <w:pStyle w:val="author"/>
        <w:numPr>
          <w:ilvl w:val="0"/>
          <w:numId w:val="5"/>
        </w:numP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 xml:space="preserve">Is more Western thinking – choosing function over </w:t>
      </w:r>
      <w:r>
        <w:rPr>
          <w:rFonts w:asciiTheme="minorHAnsi" w:hAnsiTheme="minorHAnsi" w:cstheme="minorHAnsi"/>
          <w:sz w:val="22"/>
          <w:szCs w:val="22"/>
        </w:rPr>
        <w:t>form</w:t>
      </w:r>
    </w:p>
    <w:p w14:paraId="1FF4ED80" w14:textId="77777777" w:rsidR="00B25C93" w:rsidRPr="00FD2DEA" w:rsidRDefault="00B25C93" w:rsidP="00B25C93">
      <w:pPr>
        <w:pStyle w:val="author"/>
        <w:numPr>
          <w:ilvl w:val="0"/>
          <w:numId w:val="5"/>
        </w:numP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 xml:space="preserve">Is more Eastern thinking – choosing </w:t>
      </w:r>
      <w:proofErr w:type="gramStart"/>
      <w:r>
        <w:rPr>
          <w:rFonts w:asciiTheme="minorHAnsi" w:hAnsiTheme="minorHAnsi" w:cstheme="minorHAnsi"/>
          <w:sz w:val="22"/>
          <w:szCs w:val="22"/>
        </w:rPr>
        <w:t>form</w:t>
      </w:r>
      <w:proofErr w:type="gramEnd"/>
      <w:r w:rsidRPr="00FD2DEA">
        <w:rPr>
          <w:rFonts w:asciiTheme="minorHAnsi" w:hAnsiTheme="minorHAnsi" w:cstheme="minorHAnsi"/>
          <w:sz w:val="22"/>
          <w:szCs w:val="22"/>
        </w:rPr>
        <w:t xml:space="preserve"> over function </w:t>
      </w:r>
    </w:p>
    <w:p w14:paraId="12481641"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728A6B6A"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4347BD5D"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32387C5E" w14:textId="77777777" w:rsidR="00B25C93" w:rsidRPr="00FD2DEA" w:rsidRDefault="00B25C93" w:rsidP="00B25C93">
      <w:pPr>
        <w:pStyle w:val="author"/>
        <w:numPr>
          <w:ilvl w:val="0"/>
          <w:numId w:val="8"/>
        </w:numP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Look at the following picture. The question is for you to choose which one of these shapes is “at the head of the queue?”</w:t>
      </w:r>
    </w:p>
    <w:p w14:paraId="3C07E4FC"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15E8724A" w14:textId="77777777" w:rsidR="00B25C93" w:rsidRPr="00FD2DEA" w:rsidRDefault="00B25C93" w:rsidP="00B25C93">
      <w:pPr>
        <w:pStyle w:val="author"/>
        <w:spacing w:before="0" w:beforeAutospacing="0" w:after="0" w:afterAutospacing="0" w:line="276" w:lineRule="auto"/>
        <w:jc w:val="center"/>
        <w:rPr>
          <w:rFonts w:asciiTheme="minorHAnsi" w:hAnsiTheme="minorHAnsi" w:cstheme="minorHAnsi"/>
          <w:sz w:val="22"/>
          <w:szCs w:val="22"/>
        </w:rPr>
      </w:pPr>
      <w:r w:rsidRPr="00FD2DEA">
        <w:rPr>
          <w:rFonts w:asciiTheme="minorHAnsi" w:hAnsiTheme="minorHAnsi" w:cstheme="minorHAnsi"/>
          <w:noProof/>
          <w:sz w:val="22"/>
          <w:szCs w:val="22"/>
        </w:rPr>
        <w:drawing>
          <wp:inline distT="0" distB="0" distL="0" distR="0" wp14:anchorId="4442940A" wp14:editId="49362E68">
            <wp:extent cx="2282024" cy="2234317"/>
            <wp:effectExtent l="0" t="0" r="4445" b="0"/>
            <wp:docPr id="2" name="Picture 1">
              <a:extLst xmlns:a="http://schemas.openxmlformats.org/drawingml/2006/main">
                <a:ext uri="{FF2B5EF4-FFF2-40B4-BE49-F238E27FC236}">
                  <a16:creationId xmlns:a16="http://schemas.microsoft.com/office/drawing/2014/main" id="{E2FF5811-65E5-46D0-AB79-7F6529083FC3}"/>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2FF5811-65E5-46D0-AB79-7F6529083FC3}"/>
                        </a:ext>
                      </a:extLst>
                    </pic:cNvPr>
                    <pic:cNvPicPr/>
                  </pic:nvPicPr>
                  <pic:blipFill rotWithShape="1">
                    <a:blip r:embed="rId14"/>
                    <a:srcRect l="33506" t="56004" r="32472" b="3222"/>
                    <a:stretch/>
                  </pic:blipFill>
                  <pic:spPr bwMode="auto">
                    <a:xfrm>
                      <a:off x="0" y="0"/>
                      <a:ext cx="2373144" cy="2323532"/>
                    </a:xfrm>
                    <a:prstGeom prst="rect">
                      <a:avLst/>
                    </a:prstGeom>
                    <a:ln>
                      <a:noFill/>
                    </a:ln>
                    <a:extLst>
                      <a:ext uri="{53640926-AAD7-44D8-BBD7-CCE9431645EC}">
                        <a14:shadowObscured xmlns:a14="http://schemas.microsoft.com/office/drawing/2010/main"/>
                      </a:ext>
                    </a:extLst>
                  </pic:spPr>
                </pic:pic>
              </a:graphicData>
            </a:graphic>
          </wp:inline>
        </w:drawing>
      </w:r>
    </w:p>
    <w:p w14:paraId="11753317"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5835A14B" w14:textId="77777777" w:rsidR="00B25C93" w:rsidRPr="00FD2DEA" w:rsidRDefault="00B25C93" w:rsidP="00B25C93">
      <w:pPr>
        <w:pStyle w:val="author"/>
        <w:numPr>
          <w:ilvl w:val="0"/>
          <w:numId w:val="6"/>
        </w:numP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Is more Eastern thinking – choosing hierarchy over proximity</w:t>
      </w:r>
    </w:p>
    <w:p w14:paraId="1C798CF8" w14:textId="77777777" w:rsidR="00B25C93" w:rsidRPr="00FD2DEA" w:rsidRDefault="00B25C93" w:rsidP="00B25C93">
      <w:pPr>
        <w:pStyle w:val="author"/>
        <w:numPr>
          <w:ilvl w:val="0"/>
          <w:numId w:val="6"/>
        </w:numP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Is more Western thinking – choosing proximity over h</w:t>
      </w:r>
      <w:r>
        <w:rPr>
          <w:rFonts w:asciiTheme="minorHAnsi" w:hAnsiTheme="minorHAnsi" w:cstheme="minorHAnsi"/>
          <w:sz w:val="22"/>
          <w:szCs w:val="22"/>
        </w:rPr>
        <w:t>ie</w:t>
      </w:r>
      <w:r w:rsidRPr="00FD2DEA">
        <w:rPr>
          <w:rFonts w:asciiTheme="minorHAnsi" w:hAnsiTheme="minorHAnsi" w:cstheme="minorHAnsi"/>
          <w:sz w:val="22"/>
          <w:szCs w:val="22"/>
        </w:rPr>
        <w:t>rarc</w:t>
      </w:r>
      <w:r>
        <w:rPr>
          <w:rFonts w:asciiTheme="minorHAnsi" w:hAnsiTheme="minorHAnsi" w:cstheme="minorHAnsi"/>
          <w:sz w:val="22"/>
          <w:szCs w:val="22"/>
        </w:rPr>
        <w:t>h</w:t>
      </w:r>
      <w:r w:rsidRPr="00FD2DEA">
        <w:rPr>
          <w:rFonts w:asciiTheme="minorHAnsi" w:hAnsiTheme="minorHAnsi" w:cstheme="minorHAnsi"/>
          <w:sz w:val="22"/>
          <w:szCs w:val="22"/>
        </w:rPr>
        <w:t>y</w:t>
      </w:r>
    </w:p>
    <w:p w14:paraId="7E21CDF2"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p>
    <w:p w14:paraId="71E6C488" w14:textId="77777777" w:rsidR="00B25C93" w:rsidRPr="00FD2DEA" w:rsidRDefault="00B25C93" w:rsidP="00B25C93">
      <w:pPr>
        <w:pStyle w:val="author"/>
        <w:spacing w:before="0" w:beforeAutospacing="0" w:after="0" w:afterAutospacing="0" w:line="276" w:lineRule="auto"/>
        <w:rPr>
          <w:rFonts w:asciiTheme="minorHAnsi" w:hAnsiTheme="minorHAnsi" w:cstheme="minorHAnsi"/>
          <w:sz w:val="22"/>
          <w:szCs w:val="22"/>
        </w:rPr>
      </w:pPr>
      <w:r w:rsidRPr="00FD2DEA">
        <w:rPr>
          <w:rFonts w:asciiTheme="minorHAnsi" w:hAnsiTheme="minorHAnsi" w:cstheme="minorHAnsi"/>
          <w:sz w:val="22"/>
          <w:szCs w:val="22"/>
        </w:rPr>
        <w:t>Of course these are just simple fun tests and cannot truly determine your thinking style and your mind is much more complex than any simple test can ever measure but even so, did you see any particular preferences in yourself towards any particular style of thinking?</w:t>
      </w:r>
    </w:p>
    <w:p w14:paraId="7DD5B87F" w14:textId="0B13E4D7" w:rsidR="00B25C93" w:rsidRDefault="00B25C93"/>
    <w:p w14:paraId="217C9D7F" w14:textId="77777777" w:rsidR="00B25C93" w:rsidRDefault="00B25C93" w:rsidP="00B25C93">
      <w:pPr>
        <w:pStyle w:val="NormalWeb"/>
        <w:shd w:val="clear" w:color="auto" w:fill="FFFFFF"/>
        <w:spacing w:before="0" w:beforeAutospacing="0" w:after="0" w:afterAutospacing="0" w:line="360" w:lineRule="auto"/>
        <w:rPr>
          <w:rStyle w:val="Emphasis"/>
          <w:rFonts w:asciiTheme="minorHAnsi" w:hAnsiTheme="minorHAnsi" w:cstheme="minorHAnsi"/>
          <w:b/>
          <w:bCs/>
          <w:i w:val="0"/>
          <w:sz w:val="22"/>
          <w:szCs w:val="22"/>
          <w:shd w:val="clear" w:color="auto" w:fill="FFFFFF"/>
        </w:rPr>
      </w:pPr>
    </w:p>
    <w:p w14:paraId="153EB398" w14:textId="4D8FA99A" w:rsidR="00B25C93" w:rsidRDefault="00B25C93" w:rsidP="00B25C93">
      <w:pPr>
        <w:spacing w:after="0" w:line="360" w:lineRule="auto"/>
      </w:pPr>
      <w:r>
        <w:rPr>
          <w:rFonts w:eastAsia="Times New Roman" w:cstheme="minorHAnsi"/>
          <w:lang w:eastAsia="en-NZ"/>
        </w:rPr>
        <w:t xml:space="preserve">If you like my writing I have many more articles on my website on the ‘Articles’ page </w:t>
      </w:r>
      <w:hyperlink r:id="rId15" w:history="1">
        <w:r w:rsidRPr="00EF2B02">
          <w:rPr>
            <w:rStyle w:val="Hyperlink"/>
          </w:rPr>
          <w:t>www.taolearn.com/articles-by-lance-king/</w:t>
        </w:r>
      </w:hyperlink>
      <w:r>
        <w:t xml:space="preserve"> </w:t>
      </w:r>
      <w:r>
        <w:rPr>
          <w:rFonts w:eastAsia="Times New Roman" w:cstheme="minorHAnsi"/>
          <w:lang w:eastAsia="en-NZ"/>
        </w:rPr>
        <w:t xml:space="preserve">and on the ATL page </w:t>
      </w:r>
      <w:hyperlink r:id="rId16" w:history="1">
        <w:r w:rsidRPr="00EF2B02">
          <w:rPr>
            <w:rStyle w:val="Hyperlink"/>
          </w:rPr>
          <w:t>www.taolearn.com/approaches-to-learning/</w:t>
        </w:r>
      </w:hyperlink>
      <w:r>
        <w:t xml:space="preserve"> or you could buy my book </w:t>
      </w:r>
      <w:r w:rsidRPr="002B5D52">
        <w:rPr>
          <w:rFonts w:eastAsia="Times New Roman" w:cstheme="minorHAnsi"/>
          <w:b/>
          <w:bCs/>
          <w:i/>
          <w:iCs/>
          <w:lang w:eastAsia="en-NZ"/>
        </w:rPr>
        <w:t>The Importance of Failing Well</w:t>
      </w:r>
      <w:r>
        <w:rPr>
          <w:rFonts w:eastAsia="Times New Roman" w:cstheme="minorHAnsi"/>
          <w:lang w:eastAsia="en-NZ"/>
        </w:rPr>
        <w:t xml:space="preserve"> </w:t>
      </w:r>
      <w:r>
        <w:rPr>
          <w:rFonts w:cstheme="minorHAnsi"/>
          <w:color w:val="000000" w:themeColor="text1"/>
        </w:rPr>
        <w:t>at</w:t>
      </w:r>
      <w:r w:rsidRPr="002722FE">
        <w:rPr>
          <w:rFonts w:cstheme="minorHAnsi"/>
          <w:color w:val="000000" w:themeColor="text1"/>
        </w:rPr>
        <w:t xml:space="preserve"> </w:t>
      </w:r>
      <w:hyperlink r:id="rId17" w:history="1">
        <w:r w:rsidRPr="00EF2B02">
          <w:rPr>
            <w:rStyle w:val="Hyperlink"/>
            <w:rFonts w:cstheme="minorHAnsi"/>
          </w:rPr>
          <w:t>www.taolearn.com/shop/the-art-of-learning-for-parents-the-importance-of-failing-well/</w:t>
        </w:r>
      </w:hyperlink>
      <w:r w:rsidRPr="002722FE">
        <w:rPr>
          <w:rFonts w:cstheme="minorHAnsi"/>
        </w:rPr>
        <w:t xml:space="preserve"> </w:t>
      </w:r>
    </w:p>
    <w:sectPr w:rsidR="00B25C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152489"/>
    <w:multiLevelType w:val="hybridMultilevel"/>
    <w:tmpl w:val="5A7484A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5270475"/>
    <w:multiLevelType w:val="hybridMultilevel"/>
    <w:tmpl w:val="4CF83B2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AEA1F52"/>
    <w:multiLevelType w:val="hybridMultilevel"/>
    <w:tmpl w:val="4EC8B5A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7B55DA8"/>
    <w:multiLevelType w:val="hybridMultilevel"/>
    <w:tmpl w:val="FFA869D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491E3D96"/>
    <w:multiLevelType w:val="hybridMultilevel"/>
    <w:tmpl w:val="E038415A"/>
    <w:lvl w:ilvl="0" w:tplc="B252826C">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55317E73"/>
    <w:multiLevelType w:val="hybridMultilevel"/>
    <w:tmpl w:val="C598E6A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68C04E0B"/>
    <w:multiLevelType w:val="hybridMultilevel"/>
    <w:tmpl w:val="623CEE8A"/>
    <w:lvl w:ilvl="0" w:tplc="7B26FA94">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6D257F7A"/>
    <w:multiLevelType w:val="hybridMultilevel"/>
    <w:tmpl w:val="8B526F14"/>
    <w:lvl w:ilvl="0" w:tplc="7B26FA94">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2"/>
  </w:num>
  <w:num w:numId="5">
    <w:abstractNumId w:val="5"/>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C93"/>
    <w:rsid w:val="007A7202"/>
    <w:rsid w:val="00B25C93"/>
    <w:rsid w:val="00BE3FA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FF1E4"/>
  <w15:chartTrackingRefBased/>
  <w15:docId w15:val="{DA5F6652-ED11-4E31-B781-B733EB9DC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25C93"/>
    <w:rPr>
      <w:i/>
      <w:iCs/>
    </w:rPr>
  </w:style>
  <w:style w:type="paragraph" w:styleId="NormalWeb">
    <w:name w:val="Normal (Web)"/>
    <w:basedOn w:val="Normal"/>
    <w:uiPriority w:val="99"/>
    <w:unhideWhenUsed/>
    <w:rsid w:val="00B25C9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author">
    <w:name w:val="author"/>
    <w:basedOn w:val="Normal"/>
    <w:rsid w:val="00B25C9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B25C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taolearn.com/shop/the-art-of-learning-for-parents-the-importance-of-failing-well/" TargetMode="External"/><Relationship Id="rId2" Type="http://schemas.openxmlformats.org/officeDocument/2006/relationships/numbering" Target="numbering.xml"/><Relationship Id="rId16" Type="http://schemas.openxmlformats.org/officeDocument/2006/relationships/hyperlink" Target="http://www.taolearn.com/approaches-to-learnin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taolearn.com/articles-by-lance-king/"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Tan15</b:Tag>
    <b:SourceType>JournalArticle</b:SourceType>
    <b:Guid>{D59E6044-C0FD-4C38-A454-0B42DCB63F5D}</b:Guid>
    <b:Author>
      <b:Author>
        <b:NameList>
          <b:Person>
            <b:Last>Tan</b:Last>
            <b:First>C</b:First>
          </b:Person>
        </b:NameList>
      </b:Author>
    </b:Author>
    <b:Title>Beyond Rote Memorisation: Confucius' concept of thinking</b:Title>
    <b:JournalName>Educational Philosophy and Teory</b:JournalName>
    <b:Year>2015</b:Year>
    <b:Pages>428-439</b:Pages>
    <b:RefOrder>1</b:RefOrder>
  </b:Source>
  <b:Source>
    <b:Tag>Chi14</b:Tag>
    <b:SourceType>JournalArticle</b:SourceType>
    <b:Guid>{FC969322-F50F-4A7F-AF74-BAFEFBFC0F33}</b:Guid>
    <b:Author>
      <b:Author>
        <b:NameList>
          <b:Person>
            <b:Last>Ching-tien</b:Last>
            <b:First>T</b:First>
          </b:Person>
        </b:NameList>
      </b:Author>
    </b:Author>
    <b:Title>The Confucian view of the relationship between knowledge and action and its relevance to action research</b:Title>
    <b:JournalName>Educatinal Philosophy and Theory</b:JournalName>
    <b:Year>2014</b:Year>
    <b:RefOrder>2</b:RefOrder>
  </b:Source>
  <b:Source>
    <b:Tag>Smi13</b:Tag>
    <b:SourceType>JournalArticle</b:SourceType>
    <b:Guid>{666C2E41-1FEC-403B-A71F-F662191DB760}</b:Guid>
    <b:Author>
      <b:Author>
        <b:NameList>
          <b:Person>
            <b:Last>Smith</b:Last>
            <b:First>J</b:First>
          </b:Person>
          <b:Person>
            <b:Last>Hu</b:Last>
            <b:First>R.</b:First>
          </b:Person>
        </b:NameList>
      </b:Author>
    </b:Author>
    <b:Title>Rethinking Teacher Education: Synchronizing eastern and western views of teaching and learning</b:Title>
    <b:JournalName>Education Research and Perspectives</b:JournalName>
    <b:Year>2013</b:Year>
    <b:Pages>86-108</b:Pages>
    <b:RefOrder>3</b:RefOrder>
  </b:Source>
  <b:Source>
    <b:Tag>Hye03</b:Tag>
    <b:SourceType>JournalArticle</b:SourceType>
    <b:Guid>{4B7490FF-1656-4DF5-B0EA-8A302CFE9F00}</b:Guid>
    <b:Author>
      <b:Author>
        <b:NameList>
          <b:Person>
            <b:Last>Hye-Kyung</b:Last>
            <b:First>K.</b:First>
          </b:Person>
        </b:NameList>
      </b:Author>
    </b:Author>
    <b:Title>Critical thinking,learning and Confucius: A positive assessment</b:Title>
    <b:JournalName>Jouyrnal of Philosophy of Education</b:JournalName>
    <b:Year>2003</b:Year>
    <b:RefOrder>4</b:RefOrder>
  </b:Source>
  <b:Source>
    <b:Tag>Nis03</b:Tag>
    <b:SourceType>Book</b:SourceType>
    <b:Guid>{2A62EB0B-CA67-4120-BF1C-518A276D5BE8}</b:Guid>
    <b:Title>The Geography of Thought</b:Title>
    <b:Year>2003</b:Year>
    <b:Author>
      <b:Author>
        <b:NameList>
          <b:Person>
            <b:Last>Nisbett</b:Last>
            <b:First>R.</b:First>
          </b:Person>
        </b:NameList>
      </b:Author>
    </b:Author>
    <b:City>New York</b:City>
    <b:Publisher>The Free Press</b:Publisher>
    <b:RefOrder>5</b:RefOrder>
  </b:Source>
  <b:Source>
    <b:Tag>Kwa00</b:Tag>
    <b:SourceType>Book</b:SourceType>
    <b:Guid>{8E4E907E-E636-4D1D-935B-E4CF3CEEDF1C}</b:Guid>
    <b:Author>
      <b:Author>
        <b:NameList>
          <b:Person>
            <b:Last>Kwang</b:Last>
            <b:First>N.,</b:First>
            <b:Middle>A.</b:Middle>
          </b:Person>
        </b:NameList>
      </b:Author>
    </b:Author>
    <b:Title>Why Asians are less creative than Westerners</b:Title>
    <b:Year>2000</b:Year>
    <b:RefOrder>6</b:RefOrder>
  </b:Source>
</b:Sources>
</file>

<file path=customXml/itemProps1.xml><?xml version="1.0" encoding="utf-8"?>
<ds:datastoreItem xmlns:ds="http://schemas.openxmlformats.org/officeDocument/2006/customXml" ds:itemID="{594F531D-3C3E-4338-B5AF-49996DA80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1137</Words>
  <Characters>6484</Characters>
  <Application>Microsoft Office Word</Application>
  <DocSecurity>0</DocSecurity>
  <Lines>54</Lines>
  <Paragraphs>15</Paragraphs>
  <ScaleCrop>false</ScaleCrop>
  <Company/>
  <LinksUpToDate>false</LinksUpToDate>
  <CharactersWithSpaces>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King</dc:creator>
  <cp:keywords/>
  <dc:description/>
  <cp:lastModifiedBy>Lance King</cp:lastModifiedBy>
  <cp:revision>1</cp:revision>
  <dcterms:created xsi:type="dcterms:W3CDTF">2020-05-22T00:03:00Z</dcterms:created>
  <dcterms:modified xsi:type="dcterms:W3CDTF">2020-05-22T00:07:00Z</dcterms:modified>
</cp:coreProperties>
</file>